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40"/>
        <w:jc w:val="center"/>
      </w:pPr>
      <w:r>
        <w:rPr>
          <w:rFonts w:ascii="Arial" w:hAnsi="Arial" w:eastAsia="Arial"/>
          <w:b/>
          <w:i w:val="0"/>
          <w:color w:val="0D1B2A"/>
          <w:sz w:val="44"/>
        </w:rPr>
        <w:t>ONCOLOGY DRUG DESIGN - VOLUME IV</w:t>
      </w:r>
    </w:p>
    <w:p>
      <w:pPr>
        <w:spacing w:after="40"/>
        <w:jc w:val="center"/>
      </w:pPr>
      <w:r>
        <w:rPr>
          <w:rFonts w:ascii="Arial" w:hAnsi="Arial" w:eastAsia="Arial"/>
          <w:b/>
          <w:i w:val="0"/>
          <w:color w:val="00695C"/>
          <w:sz w:val="26"/>
        </w:rPr>
        <w:t>FLT3-ITD: Target Dossier, Design Criteria and Programme Architecture</w:t>
      </w:r>
    </w:p>
    <w:p>
      <w:pPr>
        <w:spacing w:after="160"/>
        <w:jc w:val="center"/>
      </w:pPr>
      <w:r>
        <w:rPr>
          <w:rFonts w:ascii="Arial" w:hAnsi="Arial" w:eastAsia="Arial"/>
          <w:b w:val="0"/>
          <w:i/>
          <w:color w:val="546E7A"/>
          <w:sz w:val="18"/>
        </w:rPr>
        <w:t>A worked target-specific volume. Every quantitative statement is computed from retrieved bioactivity, cohort and structural data, with the provenance and the limits stated alongside.</w:t>
      </w:r>
    </w:p>
    <w:p>
      <w:pPr>
        <w:spacing w:before="80" w:after="240"/>
        <w:jc w:val="center"/>
        <w:shd w:val="clear" w:color="auto" w:fill="0D1B2A"/>
      </w:pPr>
      <w:r>
        <w:rPr>
          <w:rFonts w:ascii="Arial" w:hAnsi="Arial" w:eastAsia="Arial"/>
          <w:b/>
          <w:i w:val="0"/>
          <w:color w:val="FFFFFF"/>
          <w:sz w:val="17"/>
        </w:rPr>
        <w:t>LESION QUANTITATION  ·  CONFORMATIONAL SELECTIVITY  ·  RESISTANCE ARITHMETIC  ·  TARGET COVERAGE  ·  COMBINATION STRATEGY  ·  SCREENING CASCADE  ·  RISK REGISTER  ·  INTERFACE DECOMPOSITION  ·  FORCE-FIELD ENERGETICS  ·  PROSPECTIVE CANDIDATES</w:t>
      </w:r>
    </w:p>
    <w:p>
      <w:pPr>
        <w:shd w:val="clear" w:color="auto" w:fill="0D1B2A"/>
        <w:spacing w:before="280" w:after="160"/>
      </w:pPr>
      <w:r>
        <w:rPr>
          <w:rFonts w:ascii="Arial" w:hAnsi="Arial" w:eastAsia="Arial"/>
          <w:b/>
          <w:i w:val="0"/>
          <w:color w:val="FFFFFF"/>
          <w:sz w:val="23"/>
        </w:rPr>
        <w:t xml:space="preserve">  WHAT THIS VOLUME IS, AND HOW IT WAS BUILT</w:t>
      </w:r>
    </w:p>
    <w:p>
      <w:pPr>
        <w:spacing w:after="100"/>
      </w:pPr>
      <w:r>
        <w:rPr>
          <w:rFonts w:ascii="Arial" w:hAnsi="Arial" w:eastAsia="Arial"/>
          <w:b w:val="0"/>
          <w:i w:val="0"/>
          <w:color w:val="212121"/>
          <w:sz w:val="19"/>
        </w:rPr>
        <w:t>Volumes I to III supply general and oncology-wide mathematics. This volume applies that machinery to one target. It is written for a programme that has to make decisions - which chemotype, which panel, which gate, which combination - and every criterion is therefore tied to a measurement rather than to a convention.</w:t>
      </w:r>
    </w:p>
    <w:p>
      <w:pPr>
        <w:spacing w:after="100"/>
      </w:pPr>
      <w:r>
        <w:rPr>
          <w:rFonts w:ascii="Arial" w:hAnsi="Arial" w:eastAsia="Arial"/>
          <w:b w:val="0"/>
          <w:i w:val="0"/>
          <w:color w:val="212121"/>
          <w:sz w:val="19"/>
        </w:rPr>
        <w:t>Nothing here is recalled. The inhibitor pharmacology is computed from ChEMBL target CHEMBL1974 (632 activity records for the named agents, 433 retained after filtering to exact-relation nanomolar values with no validity flag). The genomic landscape is computed from public cBioPortal cohorts. The structural analysis is computed from coordinates retrieved from the PDB. Every reference was resolved programmatically and each identifier reverse-validated.</w:t>
      </w:r>
    </w:p>
    <w:tbl>
      <w:tblPr>
        <w:tblW w:type="auto" w:w="0"/>
        <w:jc w:val="left"/>
        <w:tblLayout w:type="fixed"/>
        <w:tblLook w:firstColumn="1" w:firstRow="1" w:lastColumn="0" w:lastRow="0" w:noHBand="0" w:noVBand="1" w:val="04A0"/>
      </w:tblPr>
      <w:tblGrid>
        <w:gridCol w:w="3324"/>
        <w:gridCol w:w="3324"/>
        <w:gridCol w:w="3324"/>
      </w:tblGrid>
      <w:tr>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Sec.</w:t>
            </w:r>
          </w:p>
        </w:tc>
        <w:tc>
          <w:tcPr>
            <w:tcW w:type="dxa" w:w="33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Domain</w:t>
            </w:r>
          </w:p>
        </w:tc>
        <w:tc>
          <w:tcPr>
            <w:tcW w:type="dxa" w:w="532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The decision it informs</w:t>
            </w:r>
          </w:p>
        </w:tc>
      </w:tr>
      <w:tr>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XXIX</w:t>
            </w:r>
          </w:p>
        </w:tc>
        <w:tc>
          <w:tcPr>
            <w:tcW w:type="dxa" w:w="33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Lesion structure and quantitation</w:t>
            </w:r>
          </w:p>
        </w:tc>
        <w:tc>
          <w:tcPr>
            <w:tcW w:type="dxa" w:w="53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How to measure the ITD, and why it cannot be read off a standard mutation call</w:t>
            </w:r>
          </w:p>
        </w:tc>
      </w:tr>
      <w:tr>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XXX</w:t>
            </w:r>
          </w:p>
        </w:tc>
        <w:tc>
          <w:tcPr>
            <w:tcW w:type="dxa" w:w="33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Conformational selectivity and resistance</w:t>
            </w:r>
          </w:p>
        </w:tc>
        <w:tc>
          <w:tcPr>
            <w:tcW w:type="dxa" w:w="53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Which chemotype class to pursue, and which mutants must be in the panel</w:t>
            </w:r>
          </w:p>
        </w:tc>
      </w:tr>
      <w:tr>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XXXI</w:t>
            </w:r>
          </w:p>
        </w:tc>
        <w:tc>
          <w:tcPr>
            <w:tcW w:type="dxa" w:w="33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Potency to target coverage</w:t>
            </w:r>
          </w:p>
        </w:tc>
        <w:tc>
          <w:tcPr>
            <w:tcW w:type="dxa" w:w="53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Whether a potency number predicts coverage in a patient</w:t>
            </w:r>
          </w:p>
        </w:tc>
      </w:tr>
      <w:tr>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XXXII</w:t>
            </w:r>
          </w:p>
        </w:tc>
        <w:tc>
          <w:tcPr>
            <w:tcW w:type="dxa" w:w="33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Combination and resistance suppression</w:t>
            </w:r>
          </w:p>
        </w:tc>
        <w:tc>
          <w:tcPr>
            <w:tcW w:type="dxa" w:w="53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Which partner, at which exposure, against which escape route</w:t>
            </w:r>
          </w:p>
        </w:tc>
      </w:tr>
      <w:tr>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XXXIII</w:t>
            </w:r>
          </w:p>
        </w:tc>
        <w:tc>
          <w:tcPr>
            <w:tcW w:type="dxa" w:w="33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Screening cascade and gates</w:t>
            </w:r>
          </w:p>
        </w:tc>
        <w:tc>
          <w:tcPr>
            <w:tcW w:type="dxa" w:w="53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What to run, in what order, and what kills a compound</w:t>
            </w:r>
          </w:p>
        </w:tc>
      </w:tr>
      <w:tr>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XXXIV</w:t>
            </w:r>
          </w:p>
        </w:tc>
        <w:tc>
          <w:tcPr>
            <w:tcW w:type="dxa" w:w="33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Programme risk register</w:t>
            </w:r>
          </w:p>
        </w:tc>
        <w:tc>
          <w:tcPr>
            <w:tcW w:type="dxa" w:w="53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The real failure modes, and the experiment that tests each</w:t>
            </w:r>
          </w:p>
        </w:tc>
      </w:tr>
      <w:tr>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XXXV</w:t>
            </w:r>
          </w:p>
        </w:tc>
        <w:tc>
          <w:tcPr>
            <w:tcW w:type="dxa" w:w="33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Interface decomposition</w:t>
            </w:r>
          </w:p>
        </w:tc>
        <w:tc>
          <w:tcPr>
            <w:tcW w:type="dxa" w:w="53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What a back-pocket-free chemotype gives up, and where to recover it</w:t>
            </w:r>
          </w:p>
        </w:tc>
      </w:tr>
      <w:tr>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XXXVI</w:t>
            </w:r>
          </w:p>
        </w:tc>
        <w:tc>
          <w:tcPr>
            <w:tcW w:type="dxa" w:w="33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Force-field energetics</w:t>
            </w:r>
          </w:p>
        </w:tc>
        <w:tc>
          <w:tcPr>
            <w:tcW w:type="dxa" w:w="53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Whether that surface delivers energy, and what a contact score cannot predict</w:t>
            </w:r>
          </w:p>
        </w:tc>
      </w:tr>
      <w:tr>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XXXVII</w:t>
            </w:r>
          </w:p>
        </w:tc>
        <w:tc>
          <w:tcPr>
            <w:tcW w:type="dxa" w:w="33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Prospective candidates</w:t>
            </w:r>
          </w:p>
        </w:tc>
        <w:tc>
          <w:tcPr>
            <w:tcW w:type="dxa" w:w="53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Molecules that satisfy the criterion, and the receptor in which it must be tested</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DATA PROVENANCE AND ITS LIMITS  </w:t>
            </w:r>
            <w:r>
              <w:rPr>
                <w:rFonts w:ascii="Arial" w:hAnsi="Arial" w:eastAsia="Arial"/>
                <w:b w:val="0"/>
                <w:i w:val="0"/>
                <w:color w:val="212121"/>
                <w:sz w:val="17"/>
              </w:rPr>
              <w:t>Three limits govern how the numbers here should be used. First, ChEMBL aggregates heterogeneous assay conditions, so potency medians characterise class behaviour and must not be quoted as head-to-head comparisons; the record count is given alongside every value. Second, the broad landscape query returned 1000 of 3807 records above the potency threshold, so it is a sample rather than an exhaustive census. Third, standard short-read cohorts largely do not resolve FLT3-ITD - only one of the six cohorts examined calls ITD events at all, and even there the annotation collapses (Section 29.2). Where a quantity could not be derived safely, this volume says so instead of estimating it.</w:t>
            </w:r>
          </w:p>
        </w:tc>
      </w:tr>
    </w:tbl>
    <w:p>
      <w:pPr>
        <w:spacing w:after="60"/>
      </w:pPr>
    </w:p>
    <w:p>
      <w:pPr>
        <w:shd w:val="clear" w:color="auto" w:fill="0D1B2A"/>
        <w:spacing w:before="280" w:after="160"/>
      </w:pPr>
      <w:r>
        <w:rPr>
          <w:rFonts w:ascii="Arial" w:hAnsi="Arial" w:eastAsia="Arial"/>
          <w:b/>
          <w:i w:val="0"/>
          <w:color w:val="FFFFFF"/>
          <w:sz w:val="23"/>
        </w:rPr>
        <w:t xml:space="preserve">  XXIX.   FLT3-ITD: LESION STRUCTURE AND ITS QUANTITATION</w:t>
      </w:r>
    </w:p>
    <w:p>
      <w:pPr>
        <w:spacing w:after="100"/>
      </w:pPr>
      <w:r>
        <w:rPr>
          <w:rFonts w:ascii="Arial" w:hAnsi="Arial" w:eastAsia="Arial"/>
          <w:b w:val="0"/>
          <w:i w:val="0"/>
          <w:color w:val="212121"/>
          <w:sz w:val="19"/>
        </w:rPr>
        <w:t>FLT3 internal tandem duplication is an in-frame duplication in the juxtamembrane domain that removes the domain's autoinhibitory function, giving a constitutively active receptor that signals through STAT5, and secondarily through MAPK and PI3K. Two properties make it unlike a point-mutation target: the lesion is a duplication of variable length and position rather than a single substitution, and it is present at a variable allele burden. Both are measured quantities that enter design and stratification, and neither is recoverable from a standard short-read mutation call.</w:t>
      </w:r>
    </w:p>
    <w:p>
      <w:pPr>
        <w:spacing w:before="220" w:after="80"/>
        <w:pBdr>
          <w:left w:val="single" w:sz="18" w:space="8" w:color="00695C"/>
        </w:pBdr>
      </w:pPr>
      <w:r>
        <w:rPr>
          <w:rFonts w:ascii="Arial" w:hAnsi="Arial" w:eastAsia="Arial"/>
          <w:b/>
          <w:i w:val="0"/>
          <w:color w:val="00695C"/>
          <w:sz w:val="21"/>
        </w:rPr>
        <w:t xml:space="preserve">  29.1  Allelic Ratio</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AR = area(ITD peak) / area(wild-type peak)</w:t>
            </w:r>
          </w:p>
          <w:p>
            <w:pPr>
              <w:spacing w:before="0" w:after="60"/>
            </w:pPr>
            <w:r>
              <w:rPr>
                <w:rFonts w:ascii="Arial" w:hAnsi="Arial" w:eastAsia="Arial"/>
                <w:b/>
                <w:i w:val="0"/>
                <w:color w:val="00695C"/>
                <w:sz w:val="16"/>
              </w:rPr>
              <w:t>ITD Allelic Ratio (fragment analysis)</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VAF = ITD reads / (ITD reads + WT reads)</w:t>
              <w:br/>
              <w:t>AR  = VAF / (1 - VAF)        and    VAF = AR / (1 + AR)</w:t>
            </w:r>
          </w:p>
          <w:p>
            <w:pPr>
              <w:spacing w:before="0" w:after="60"/>
            </w:pPr>
            <w:r>
              <w:rPr>
                <w:rFonts w:ascii="Arial" w:hAnsi="Arial" w:eastAsia="Arial"/>
                <w:b/>
                <w:i w:val="0"/>
                <w:color w:val="00695C"/>
                <w:sz w:val="16"/>
              </w:rPr>
              <w:t>Conversion Between AR and VAF</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AR &gt;= 0.5  &lt;-&gt;  VAF &gt;= 0.333        (the common high-burden threshold)</w:t>
            </w:r>
          </w:p>
          <w:p>
            <w:pPr>
              <w:spacing w:before="0" w:after="60"/>
            </w:pPr>
            <w:r>
              <w:rPr>
                <w:rFonts w:ascii="Arial" w:hAnsi="Arial" w:eastAsia="Arial"/>
                <w:b/>
                <w:i w:val="0"/>
                <w:color w:val="00695C"/>
                <w:sz w:val="16"/>
              </w:rPr>
              <w:t>Threshold Equivalence</w:t>
            </w:r>
          </w:p>
        </w:tc>
      </w:tr>
    </w:tbl>
    <w:p>
      <w:pPr>
        <w:spacing w:after="40"/>
      </w:pPr>
    </w:p>
    <w:tbl>
      <w:tblPr>
        <w:tblW w:type="auto" w:w="0"/>
        <w:tblLook w:firstColumn="1" w:firstRow="1" w:lastColumn="0" w:lastRow="0" w:noHBand="0" w:noVBand="1" w:val="04A0"/>
      </w:tblPr>
      <w:tblGrid>
        <w:gridCol w:w="9972"/>
      </w:tblGrid>
      <w:tr>
        <w:tc>
          <w:tcPr>
            <w:tcW w:type="dxa" w:w="9504"/>
            <w:shd w:val="clear" w:color="auto" w:fill="FFF8E1"/>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8B6914"/>
                <w:sz w:val="17"/>
              </w:rPr>
              <w:t xml:space="preserve">WHY AR AND VAF MUST NOT BE USED INTERCHANGEABLY  </w:t>
            </w:r>
            <w:r>
              <w:rPr>
                <w:rFonts w:ascii="Arial" w:hAnsi="Arial" w:eastAsia="Arial"/>
                <w:b w:val="0"/>
                <w:i w:val="0"/>
                <w:color w:val="212121"/>
                <w:sz w:val="17"/>
              </w:rPr>
              <w:t>AR is a ratio of mutant to wild type and is unbounded above; VAF is a fraction of total and is bounded by 1. A cohort reported in AR and a cohort reported in VAF cannot be pooled without the conversion above. Report which quantity was measured, the platform that measured it, and the threshold applied - the threshold is a stratification convention, not a biological constant, and its use has changed as risk classifications have been revised.</w:t>
            </w:r>
          </w:p>
        </w:tc>
      </w:tr>
    </w:tbl>
    <w:p>
      <w:pPr>
        <w:spacing w:after="60"/>
      </w:pPr>
    </w:p>
    <w:p>
      <w:pPr>
        <w:spacing w:before="220" w:after="80"/>
        <w:pBdr>
          <w:left w:val="single" w:sz="18" w:space="8" w:color="00695C"/>
        </w:pBdr>
      </w:pPr>
      <w:r>
        <w:rPr>
          <w:rFonts w:ascii="Arial" w:hAnsi="Arial" w:eastAsia="Arial"/>
          <w:b/>
          <w:i w:val="0"/>
          <w:color w:val="00695C"/>
          <w:sz w:val="21"/>
        </w:rPr>
        <w:t xml:space="preserve">  29.2  ITD Length and Insertion Site</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L_ITD = length of the duplicated segment in base pairs;  L_aa = L_ITD / 3</w:t>
            </w:r>
          </w:p>
          <w:p>
            <w:pPr>
              <w:spacing w:before="0" w:after="60"/>
            </w:pPr>
            <w:r>
              <w:rPr>
                <w:rFonts w:ascii="Arial" w:hAnsi="Arial" w:eastAsia="Arial"/>
                <w:b/>
                <w:i w:val="0"/>
                <w:color w:val="00695C"/>
                <w:sz w:val="16"/>
              </w:rPr>
              <w:t>ITD Length</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In-frame requirement:  L_ITD mod 3 = 0</w:t>
            </w:r>
          </w:p>
          <w:p>
            <w:pPr>
              <w:spacing w:before="0" w:after="60"/>
            </w:pPr>
            <w:r>
              <w:rPr>
                <w:rFonts w:ascii="Arial" w:hAnsi="Arial" w:eastAsia="Arial"/>
                <w:b/>
                <w:i w:val="0"/>
                <w:color w:val="00695C"/>
                <w:sz w:val="16"/>
              </w:rPr>
              <w:t>Reading-Frame Constraint</w:t>
            </w:r>
          </w:p>
        </w:tc>
      </w:tr>
    </w:tbl>
    <w:p>
      <w:pPr>
        <w:spacing w:after="40"/>
      </w:pPr>
    </w:p>
    <w:p>
      <w:pPr>
        <w:spacing w:after="100"/>
      </w:pPr>
      <w:r>
        <w:rPr>
          <w:rFonts w:ascii="Arial" w:hAnsi="Arial" w:eastAsia="Arial"/>
          <w:b w:val="0"/>
          <w:i w:val="0"/>
          <w:color w:val="212121"/>
          <w:sz w:val="19"/>
        </w:rPr>
        <w:t>Insertion site is conventionally described relative to the juxtamembrane domain and the first tyrosine kinase subdomain. A duplication confined to the juxtamembrane region and one that extends into the beta1-sheet of the kinase domain are not equivalent lesions: the latter changes residues that form part of the ATP site itself, and has been associated with worse outcome and with reduced inhibitor sensitivity. For a structure-based programme this matters directly - it is the difference between an unchanged drug site and an altered one.</w:t>
      </w: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MEASUREMENT REQUIREMENT, NOT AN ASSUMPTION  </w:t>
            </w:r>
            <w:r>
              <w:rPr>
                <w:rFonts w:ascii="Arial" w:hAnsi="Arial" w:eastAsia="Arial"/>
                <w:b w:val="0"/>
                <w:i w:val="0"/>
                <w:color w:val="212121"/>
                <w:sz w:val="17"/>
              </w:rPr>
              <w:t>The cohort analysis in this volume shows why this must be measured rather than mined. In the BeatAML cohort, 210 FLT3 in-frame insertion events carry 61 distinct annotation strings, but a single string accounts for 137 of them. Real ITDs are near-unique to each patient, so that dominant string is a collapsed representation rather than 137 identical lesions. Taking insertion site from these calls is unsafe: the apparent fraction inserting at or beyond residue 610 falls from 0.68 to 0.09 once that one annotation is set aside. Use ITD-aware assays - fragment analysis for burden, and long-read or assembly-based sequencing for length and position.</w:t>
            </w:r>
          </w:p>
        </w:tc>
      </w:tr>
    </w:tbl>
    <w:p>
      <w:pPr>
        <w:spacing w:after="60"/>
      </w:pPr>
    </w:p>
    <w:p>
      <w:pPr>
        <w:spacing w:before="220" w:after="80"/>
        <w:pBdr>
          <w:left w:val="single" w:sz="18" w:space="8" w:color="00695C"/>
        </w:pBdr>
      </w:pPr>
      <w:r>
        <w:rPr>
          <w:rFonts w:ascii="Arial" w:hAnsi="Arial" w:eastAsia="Arial"/>
          <w:b/>
          <w:i w:val="0"/>
          <w:color w:val="00695C"/>
          <w:sz w:val="21"/>
        </w:rPr>
        <w:t xml:space="preserve">  29.3  Lesion Prevalence and Genomic Context</w:t>
      </w:r>
    </w:p>
    <w:p>
      <w:pPr>
        <w:spacing w:before="120" w:after="60"/>
        <w:jc w:val="center"/>
      </w:pPr>
      <w:r>
        <w:drawing>
          <wp:inline xmlns:a="http://schemas.openxmlformats.org/drawingml/2006/main" xmlns:pic="http://schemas.openxmlformats.org/drawingml/2006/picture">
            <wp:extent cx="5943600" cy="4419600"/>
            <wp:docPr id="1" name="Picture 1"/>
            <wp:cNvGraphicFramePr>
              <a:graphicFrameLocks noChangeAspect="1"/>
            </wp:cNvGraphicFramePr>
            <a:graphic>
              <a:graphicData uri="http://schemas.openxmlformats.org/drawingml/2006/picture">
                <pic:pic>
                  <pic:nvPicPr>
                    <pic:cNvPr id="0" name="Flt3_aml_landscape.png"/>
                    <pic:cNvPicPr/>
                  </pic:nvPicPr>
                  <pic:blipFill>
                    <a:blip r:embed="rId9"/>
                    <a:stretch>
                      <a:fillRect/>
                    </a:stretch>
                  </pic:blipFill>
                  <pic:spPr>
                    <a:xfrm>
                      <a:off x="0" y="0"/>
                      <a:ext cx="5943600" cy="4419600"/>
                    </a:xfrm>
                    <a:prstGeom prst="rect"/>
                  </pic:spPr>
                </pic:pic>
              </a:graphicData>
            </a:graphic>
          </wp:inline>
        </w:drawing>
      </w:r>
    </w:p>
    <w:tbl>
      <w:tblPr>
        <w:tblW w:type="auto" w:w="0"/>
        <w:tblLook w:firstColumn="1" w:firstRow="1" w:lastColumn="0" w:lastRow="0" w:noHBand="0" w:noVBand="1" w:val="04A0"/>
      </w:tblPr>
      <w:tblGrid>
        <w:gridCol w:w="9972"/>
      </w:tblGrid>
      <w:tr>
        <w:tc>
          <w:tcPr>
            <w:tcW w:type="dxa" w:w="9504"/>
            <w:shd w:val="clear" w:color="auto" w:fill="F0F4F8"/>
            <w:tcBorders>
              <w:top w:val="single" w:sz="4" w:color="D6DEE7"/>
              <w:bottom w:val="single" w:sz="4" w:color="D6DEE7"/>
              <w:left w:val="single" w:sz="4" w:color="D6DEE7"/>
              <w:right w:val="single" w:sz="4" w:color="D6DEE7"/>
            </w:tcBorders>
          </w:tcPr>
          <w:p>
            <w:pPr>
              <w:spacing w:before="60" w:after="60"/>
            </w:pPr>
            <w:r>
              <w:rPr>
                <w:rFonts w:ascii="Arial" w:hAnsi="Arial" w:eastAsia="Arial"/>
                <w:b/>
                <w:i w:val="0"/>
                <w:color w:val="0D1B2A"/>
                <w:sz w:val="16"/>
              </w:rPr>
              <w:t xml:space="preserve">Figure.  </w:t>
            </w:r>
            <w:r>
              <w:rPr>
                <w:rFonts w:ascii="Arial" w:hAnsi="Arial" w:eastAsia="Arial"/>
                <w:b w:val="0"/>
                <w:i w:val="0"/>
                <w:color w:val="212121"/>
                <w:sz w:val="16"/>
              </w:rPr>
              <w:t>FLT3 alteration landscape computed from public cBioPortal cohorts. (a) FLT3-mutated fraction with Wilson 95% intervals; adult cohorts run about three-fold higher than paediatric. (b) Odds ratios for co-mutation with FLT3-ITD in BeatAML (n=903), Fisher exact with Benjamini-Hochberg adjustment. (c) The ITD annotation-collapse artefact described in 29.2.</w:t>
            </w:r>
          </w:p>
        </w:tc>
      </w:tr>
    </w:tbl>
    <w:p>
      <w:pPr>
        <w:spacing w:after="60"/>
      </w:pPr>
    </w:p>
    <w:tbl>
      <w:tblPr>
        <w:tblW w:type="auto" w:w="0"/>
        <w:jc w:val="left"/>
        <w:tblLayout w:type="fixed"/>
        <w:tblLook w:firstColumn="1" w:firstRow="1" w:lastColumn="0" w:lastRow="0" w:noHBand="0" w:noVBand="1" w:val="04A0"/>
      </w:tblPr>
      <w:tblGrid>
        <w:gridCol w:w="1425"/>
        <w:gridCol w:w="1425"/>
        <w:gridCol w:w="1425"/>
        <w:gridCol w:w="1425"/>
        <w:gridCol w:w="1425"/>
        <w:gridCol w:w="1425"/>
        <w:gridCol w:w="1425"/>
      </w:tblGrid>
      <w:tr>
        <w:tc>
          <w:tcPr>
            <w:tcW w:type="dxa" w:w="216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Cohort</w:t>
            </w:r>
          </w:p>
        </w:tc>
        <w:tc>
          <w:tcPr>
            <w:tcW w:type="dxa" w:w="144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Group</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Mutated</w:t>
            </w:r>
          </w:p>
        </w:tc>
        <w:tc>
          <w:tcPr>
            <w:tcW w:type="dxa" w:w="129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Sequenced</w:t>
            </w:r>
          </w:p>
        </w:tc>
        <w:tc>
          <w:tcPr>
            <w:tcW w:type="dxa" w:w="100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Freq.</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95% lo</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95% hi</w:t>
            </w:r>
          </w:p>
        </w:tc>
      </w:tr>
      <w:tr>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ohsu 2022</w:t>
            </w:r>
          </w:p>
        </w:tc>
        <w:tc>
          <w:tcPr>
            <w:tcW w:type="dxa" w:w="144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adult</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278</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903</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0.308</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0.279</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0.339</w:t>
            </w:r>
          </w:p>
        </w:tc>
      </w:tr>
      <w:tr>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ohsu 2018</w:t>
            </w:r>
          </w:p>
        </w:tc>
        <w:tc>
          <w:tcPr>
            <w:tcW w:type="dxa" w:w="144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adult</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179</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622</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0.288</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0.254</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0.325</w:t>
            </w:r>
          </w:p>
        </w:tc>
      </w:tr>
      <w:tr>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target gdc</w:t>
            </w:r>
          </w:p>
        </w:tc>
        <w:tc>
          <w:tcPr>
            <w:tcW w:type="dxa" w:w="144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paediatric</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65</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584</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0.111</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0.088</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0.139</w:t>
            </w:r>
          </w:p>
        </w:tc>
      </w:tr>
      <w:tr>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stjude 2024</w:t>
            </w:r>
          </w:p>
        </w:tc>
        <w:tc>
          <w:tcPr>
            <w:tcW w:type="dxa" w:w="144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paediatric</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79</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887</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0.089</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0.072</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0.11</w:t>
            </w:r>
          </w:p>
        </w:tc>
      </w:tr>
      <w:tr>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target 2018 pub</w:t>
            </w:r>
          </w:p>
        </w:tc>
        <w:tc>
          <w:tcPr>
            <w:tcW w:type="dxa" w:w="144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paediatric</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150</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0.067</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0.037</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0.118</w:t>
            </w:r>
          </w:p>
        </w:tc>
      </w:tr>
      <w:tr>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tcga gdc</w:t>
            </w:r>
          </w:p>
        </w:tc>
        <w:tc>
          <w:tcPr>
            <w:tcW w:type="dxa" w:w="144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adult</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72</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0.042</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0.014</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0.115</w:t>
            </w:r>
          </w:p>
        </w:tc>
      </w:tr>
    </w:tbl>
    <w:p>
      <w:pPr>
        <w:spacing w:after="80"/>
      </w:pPr>
    </w:p>
    <w:p>
      <w:pPr>
        <w:spacing w:after="100"/>
      </w:pPr>
      <w:r>
        <w:rPr>
          <w:rFonts w:ascii="Arial" w:hAnsi="Arial" w:eastAsia="Arial"/>
          <w:b w:val="0"/>
          <w:i w:val="0"/>
          <w:color w:val="212121"/>
          <w:sz w:val="19"/>
        </w:rPr>
        <w:t>Within the one cohort that resolves ITD events, FLT3-ITD is present in 209 of 903 samples (23.1%) and activation-loop mutation in 59 (6.5%), with 11 samples carrying both. The co-mutation structure is strongly non-random, and it is the part of the landscape that should shape a development plan.</w:t>
      </w:r>
    </w:p>
    <w:tbl>
      <w:tblPr>
        <w:tblW w:type="auto" w:w="0"/>
        <w:jc w:val="left"/>
        <w:tblLayout w:type="fixed"/>
        <w:tblLook w:firstColumn="1" w:firstRow="1" w:lastColumn="0" w:lastRow="0" w:noHBand="0" w:noVBand="1" w:val="04A0"/>
      </w:tblPr>
      <w:tblGrid>
        <w:gridCol w:w="1246"/>
        <w:gridCol w:w="1246"/>
        <w:gridCol w:w="1246"/>
        <w:gridCol w:w="1246"/>
        <w:gridCol w:w="1246"/>
        <w:gridCol w:w="1246"/>
        <w:gridCol w:w="1246"/>
        <w:gridCol w:w="1246"/>
      </w:tblGrid>
      <w:tr>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Gene</w:t>
            </w:r>
          </w:p>
        </w:tc>
        <w:tc>
          <w:tcPr>
            <w:tcW w:type="dxa" w:w="129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n mutated</w:t>
            </w:r>
          </w:p>
        </w:tc>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co-mut with ITD</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 of ITD+</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OR</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CI lo</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CI hi</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q (BH)</w:t>
            </w:r>
          </w:p>
        </w:tc>
      </w:tr>
      <w:tr>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NPM1</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233</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112</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53.6</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5.47</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3.91</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7.65</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2.1e-22</w:t>
            </w:r>
          </w:p>
        </w:tc>
      </w:tr>
      <w:tr>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DNMT3A</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197</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81</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38.8</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3.15</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2.24</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4.44</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7.6e-10</w:t>
            </w:r>
          </w:p>
        </w:tc>
      </w:tr>
      <w:tr>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WT1</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72</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25</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12.0</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1.87</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1.12</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3.12</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3.9e-02</w:t>
            </w:r>
          </w:p>
        </w:tc>
      </w:tr>
      <w:tr>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IDH1</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71</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10.0</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1.44</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0.84</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2.46</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2.8e-01</w:t>
            </w:r>
          </w:p>
        </w:tc>
      </w:tr>
      <w:tr>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TET2</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118</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30</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14.4</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1.15</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0.74</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1.8</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7.4e-01</w:t>
            </w:r>
          </w:p>
        </w:tc>
      </w:tr>
      <w:tr>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IDH2</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111</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26</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12.4</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1.02</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0.64</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1.63</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9.9e-01</w:t>
            </w:r>
          </w:p>
        </w:tc>
      </w:tr>
      <w:tr>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RUNX1</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108</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25</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12.0</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0.62</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1.61</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1.0e+00</w:t>
            </w:r>
          </w:p>
        </w:tc>
      </w:tr>
      <w:tr>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KIT</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18</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0.66</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0.19</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2.3</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9.3e-01</w:t>
            </w:r>
          </w:p>
        </w:tc>
      </w:tr>
      <w:tr>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CEBPA</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45</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2.4</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0.4</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0.16</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1.03</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1.2e-01</w:t>
            </w:r>
          </w:p>
        </w:tc>
      </w:tr>
      <w:tr>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ASXL1</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93</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4.3</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0.33</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0.16</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0.66</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1.6e-03</w:t>
            </w:r>
          </w:p>
        </w:tc>
      </w:tr>
      <w:tr>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NRAS</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119</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2.9</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0.15</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0.07</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0.35</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8.6e-08</w:t>
            </w:r>
          </w:p>
        </w:tc>
      </w:tr>
      <w:tr>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TP53</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82</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0.07</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0.02</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2.2e-07</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THREE CONSEQUENCES FOR A DEVELOPMENT PLAN  </w:t>
            </w:r>
            <w:r>
              <w:rPr>
                <w:rFonts w:ascii="Arial" w:hAnsi="Arial" w:eastAsia="Arial"/>
                <w:b w:val="0"/>
                <w:i w:val="0"/>
                <w:color w:val="212121"/>
                <w:sz w:val="17"/>
              </w:rPr>
              <w:t>First, NPM1 co-mutation (OR 5.47, q = 2e-22) and DNMT3A (OR 3.15, q = 8e-10) define the dominant context - the three-way NPM1/DNMT3A/FLT3-ITD genotype is 27.8% of ITD-positive cases here, so a trial population is largely this genotype whether or not it is selected for. Second, TP53 (OR 0.07) and NRAS (OR 0.15) are close to mutually exclusive with ITD at diagnosis; their near-absence at baseline is precisely why RAS-pathway activation is available as an escape route under treatment, and it should be measured at progression rather than assumed absent. Third, KIT co-mutation is rare (OR 0.66, not significant), so KIT inhibition buys no efficacy here and contributes only myelosuppression - see 31.4.</w:t>
            </w:r>
          </w:p>
        </w:tc>
      </w:tr>
    </w:tbl>
    <w:p>
      <w:pPr>
        <w:spacing w:after="60"/>
      </w:pPr>
    </w:p>
    <w:p>
      <w:pPr>
        <w:shd w:val="clear" w:color="auto" w:fill="0D1B2A"/>
        <w:spacing w:before="280" w:after="160"/>
      </w:pPr>
      <w:r>
        <w:rPr>
          <w:rFonts w:ascii="Arial" w:hAnsi="Arial" w:eastAsia="Arial"/>
          <w:b/>
          <w:i w:val="0"/>
          <w:color w:val="FFFFFF"/>
          <w:sz w:val="23"/>
        </w:rPr>
        <w:t xml:space="preserve">  XXX.   CONFORMATIONAL SELECTIVITY AND THE RESISTANCE ARITHMETIC</w:t>
      </w:r>
    </w:p>
    <w:p>
      <w:pPr>
        <w:spacing w:after="100"/>
      </w:pPr>
      <w:r>
        <w:rPr>
          <w:rFonts w:ascii="Arial" w:hAnsi="Arial" w:eastAsia="Arial"/>
          <w:b w:val="0"/>
          <w:i w:val="0"/>
          <w:color w:val="212121"/>
          <w:sz w:val="19"/>
        </w:rPr>
        <w:t>The central quantitative fact of FLT3 drug design is that the inhibitor's binding mode determines which resistance mutations defeat it. This section defines the metrics, then demonstrates them on the clinically precedented agents using curated bioactivity data and solved co-complex structures.</w:t>
      </w:r>
    </w:p>
    <w:p>
      <w:pPr>
        <w:spacing w:before="220" w:after="80"/>
        <w:pBdr>
          <w:left w:val="single" w:sz="18" w:space="8" w:color="00695C"/>
        </w:pBdr>
      </w:pPr>
      <w:r>
        <w:rPr>
          <w:rFonts w:ascii="Arial" w:hAnsi="Arial" w:eastAsia="Arial"/>
          <w:b/>
          <w:i w:val="0"/>
          <w:color w:val="00695C"/>
          <w:sz w:val="21"/>
        </w:rPr>
        <w:t xml:space="preserve">  30.1  Binding-Mode Classification</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Type I  : binds the ACTIVE (DFG-in) conformation; occupies the ATP site only</w:t>
              <w:br/>
              <w:t>Type II : binds the INACTIVE (DFG-out) conformation; extends past the</w:t>
              <w:br/>
              <w:t xml:space="preserve">          gatekeeper into the back (allosteric) pocket</w:t>
            </w:r>
          </w:p>
          <w:p>
            <w:pPr>
              <w:spacing w:before="0" w:after="60"/>
            </w:pPr>
            <w:r>
              <w:rPr>
                <w:rFonts w:ascii="Arial" w:hAnsi="Arial" w:eastAsia="Arial"/>
                <w:b/>
                <w:i w:val="0"/>
                <w:color w:val="00695C"/>
                <w:sz w:val="16"/>
              </w:rPr>
              <w:t>Inhibitor Class Definition</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Back-pocket occupancy  N_bp = number of contacted residues among</w:t>
              <w:br/>
              <w:t xml:space="preserve">  {alphaC-Glu661, Met664, Met665, Ile674, His809(HRD), Ala833}</w:t>
              <w:br/>
              <w:t xml:space="preserve">  at a heavy-atom cut-off of 4.5 A</w:t>
            </w:r>
          </w:p>
          <w:p>
            <w:pPr>
              <w:spacing w:before="0" w:after="60"/>
            </w:pPr>
            <w:r>
              <w:rPr>
                <w:rFonts w:ascii="Arial" w:hAnsi="Arial" w:eastAsia="Arial"/>
                <w:b/>
                <w:i w:val="0"/>
                <w:color w:val="00695C"/>
                <w:sz w:val="16"/>
              </w:rPr>
              <w:t>Structural Class Discriminator</w:t>
            </w:r>
          </w:p>
        </w:tc>
      </w:tr>
    </w:tbl>
    <w:p>
      <w:pPr>
        <w:spacing w:after="40"/>
      </w:pPr>
    </w:p>
    <w:p>
      <w:pPr>
        <w:spacing w:after="100"/>
      </w:pPr>
      <w:r>
        <w:rPr>
          <w:rFonts w:ascii="Arial" w:hAnsi="Arial" w:eastAsia="Arial"/>
          <w:b w:val="0"/>
          <w:i w:val="0"/>
          <w:color w:val="212121"/>
          <w:sz w:val="19"/>
        </w:rPr>
        <w:t>N_bp is a directly measurable classifier and it separates the classes cleanly on real structures. Computed from the FLT3 co-complexes, quizartinib contacts 5 of the 5 catalytic-lysine / alphaC back-pocket residues, whereas gilteritinib contacts none of them and does not touch the F691 gatekeeper at all.</w:t>
      </w:r>
    </w:p>
    <w:tbl>
      <w:tblPr>
        <w:tblW w:type="auto" w:w="0"/>
        <w:jc w:val="left"/>
        <w:tblLayout w:type="fixed"/>
        <w:tblLook w:firstColumn="1" w:firstRow="1" w:lastColumn="0" w:lastRow="0" w:noHBand="0" w:noVBand="1" w:val="04A0"/>
      </w:tblPr>
      <w:tblGrid>
        <w:gridCol w:w="2493"/>
        <w:gridCol w:w="2493"/>
        <w:gridCol w:w="2493"/>
        <w:gridCol w:w="2493"/>
      </w:tblGrid>
      <w:tr>
        <w:tc>
          <w:tcPr>
            <w:tcW w:type="dxa" w:w="31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ATP-site region</w:t>
            </w:r>
          </w:p>
        </w:tc>
        <w:tc>
          <w:tcPr>
            <w:tcW w:type="dxa" w:w="216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quizartinib (II)</w:t>
            </w:r>
          </w:p>
        </w:tc>
        <w:tc>
          <w:tcPr>
            <w:tcW w:type="dxa" w:w="216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gilteritinib (I)</w:t>
            </w:r>
          </w:p>
        </w:tc>
        <w:tc>
          <w:tcPr>
            <w:tcW w:type="dxa" w:w="201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FF-10101 (cov.)</w:t>
            </w:r>
          </w:p>
        </w:tc>
      </w:tr>
      <w:tr>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glycine-rich loop</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w:t>
            </w:r>
          </w:p>
        </w:tc>
        <w:tc>
          <w:tcPr>
            <w:tcW w:type="dxa" w:w="201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w:t>
            </w:r>
          </w:p>
        </w:tc>
      </w:tr>
      <w:tr>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gatekeeper</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w:t>
            </w:r>
          </w:p>
        </w:tc>
        <w:tc>
          <w:tcPr>
            <w:tcW w:type="dxa" w:w="201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r>
      <w:tr>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hinge / solvent front</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w:t>
            </w:r>
          </w:p>
        </w:tc>
        <w:tc>
          <w:tcPr>
            <w:tcW w:type="dxa" w:w="201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w:t>
            </w:r>
          </w:p>
        </w:tc>
      </w:tr>
      <w:tr>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catalytic K / alphaC back pocket</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w:t>
            </w:r>
          </w:p>
        </w:tc>
        <w:tc>
          <w:tcPr>
            <w:tcW w:type="dxa" w:w="201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r>
      <w:tr>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HRD / catalytic</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c>
          <w:tcPr>
            <w:tcW w:type="dxa" w:w="201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w:t>
            </w:r>
          </w:p>
        </w:tc>
      </w:tr>
      <w:tr>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DFG + activation loop</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w:t>
            </w:r>
          </w:p>
        </w:tc>
        <w:tc>
          <w:tcPr>
            <w:tcW w:type="dxa" w:w="201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FFF8E1"/>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8B6914"/>
                <w:sz w:val="17"/>
              </w:rPr>
              <w:t xml:space="preserve">A METRIC THAT DID NOT WORK, REPORTED AS SUCH  </w:t>
            </w:r>
            <w:r>
              <w:rPr>
                <w:rFonts w:ascii="Arial" w:hAnsi="Arial" w:eastAsia="Arial"/>
                <w:b w:val="0"/>
                <w:i w:val="0"/>
                <w:color w:val="212121"/>
                <w:sz w:val="17"/>
              </w:rPr>
              <w:t>The conventional DFG-in/out discriminator - displacement of the DFG phenylalanine, measured here as the F830 CZ distance to the beta3-lysine K644 CA - did NOT separate these structures: 8.36 A in apo 1RJB against 10.10, 10.88 and 10.74 A in the three co-complexes. Whatever conformational differences exist between these particular crystal forms, this metric does not capture them, and the class assignment above rests on back-pocket occupancy instead. Do not carry the DFG-distance criterion into an FLT3 programme on the assumption that it will discriminate.</w:t>
            </w:r>
          </w:p>
        </w:tc>
      </w:tr>
    </w:tbl>
    <w:p>
      <w:pPr>
        <w:spacing w:after="60"/>
      </w:pPr>
    </w:p>
    <w:tbl>
      <w:tblPr>
        <w:tblW w:type="auto" w:w="0"/>
        <w:jc w:val="left"/>
        <w:tblLayout w:type="fixed"/>
        <w:tblLook w:firstColumn="1" w:firstRow="1" w:lastColumn="0" w:lastRow="0" w:noHBand="0" w:noVBand="1" w:val="04A0"/>
      </w:tblPr>
      <w:tblGrid>
        <w:gridCol w:w="1425"/>
        <w:gridCol w:w="1425"/>
        <w:gridCol w:w="1425"/>
        <w:gridCol w:w="1425"/>
        <w:gridCol w:w="1425"/>
        <w:gridCol w:w="1425"/>
        <w:gridCol w:w="1425"/>
      </w:tblGrid>
      <w:tr>
        <w:tc>
          <w:tcPr>
            <w:tcW w:type="dxa" w:w="100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PDB</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Ligand</w:t>
            </w:r>
          </w:p>
        </w:tc>
        <w:tc>
          <w:tcPr>
            <w:tcW w:type="dxa" w:w="172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F830-K644 (A)</w:t>
            </w:r>
          </w:p>
        </w:tc>
        <w:tc>
          <w:tcPr>
            <w:tcW w:type="dxa" w:w="172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F830-E661 (A)</w:t>
            </w:r>
          </w:p>
        </w:tc>
        <w:tc>
          <w:tcPr>
            <w:tcW w:type="dxa" w:w="230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K644-E661 salt bridge (A)</w:t>
            </w:r>
          </w:p>
        </w:tc>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N_bp</w:t>
            </w:r>
          </w:p>
        </w:tc>
        <w:tc>
          <w:tcPr>
            <w:tcW w:type="dxa" w:w="129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Touches F691</w:t>
            </w:r>
          </w:p>
        </w:tc>
      </w:tr>
      <w:tr>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1RJB</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(apo)</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8.36</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15.12</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2.59</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nan</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r>
      <w:tr>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4XUF</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P30</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10.1</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14.55</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2.61</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6.0</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True</w:t>
            </w:r>
          </w:p>
        </w:tc>
      </w:tr>
      <w:tr>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6JQR</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C6F</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10.88</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11.33</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3.48</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False</w:t>
            </w:r>
          </w:p>
        </w:tc>
      </w:tr>
      <w:tr>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5X02</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F6M</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10.74</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15.5</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2.73</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True</w:t>
            </w:r>
          </w:p>
        </w:tc>
      </w:tr>
    </w:tbl>
    <w:p>
      <w:pPr>
        <w:spacing w:after="80"/>
      </w:pPr>
    </w:p>
    <w:p>
      <w:pPr>
        <w:spacing w:before="220" w:after="80"/>
        <w:pBdr>
          <w:left w:val="single" w:sz="18" w:space="8" w:color="00695C"/>
        </w:pBdr>
      </w:pPr>
      <w:r>
        <w:rPr>
          <w:rFonts w:ascii="Arial" w:hAnsi="Arial" w:eastAsia="Arial"/>
          <w:b/>
          <w:i w:val="0"/>
          <w:color w:val="00695C"/>
          <w:sz w:val="21"/>
        </w:rPr>
        <w:t xml:space="preserve">  30.2  Resistance Fold-Shift</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FS_mut = IC50(FLT3-ITD + mut) / IC50(FLT3-ITD)</w:t>
            </w:r>
          </w:p>
          <w:p>
            <w:pPr>
              <w:spacing w:before="0" w:after="60"/>
            </w:pPr>
            <w:r>
              <w:rPr>
                <w:rFonts w:ascii="Arial" w:hAnsi="Arial" w:eastAsia="Arial"/>
                <w:b/>
                <w:i w:val="0"/>
                <w:color w:val="00695C"/>
                <w:sz w:val="16"/>
              </w:rPr>
              <w:t>Mutant Fold-Shift</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Design criterion:  FS &lt; 5 across the full mutant panel,</w:t>
              <w:br/>
              <w:t xml:space="preserve">  with absolute mutant IC50 still below the cellular target concentration</w:t>
            </w:r>
          </w:p>
          <w:p>
            <w:pPr>
              <w:spacing w:before="0" w:after="60"/>
            </w:pPr>
            <w:r>
              <w:rPr>
                <w:rFonts w:ascii="Arial" w:hAnsi="Arial" w:eastAsia="Arial"/>
                <w:b/>
                <w:i w:val="0"/>
                <w:color w:val="00695C"/>
                <w:sz w:val="16"/>
              </w:rPr>
              <w:t>Panel Criterion</w:t>
            </w:r>
          </w:p>
        </w:tc>
      </w:tr>
    </w:tbl>
    <w:p>
      <w:pPr>
        <w:spacing w:after="40"/>
      </w:pPr>
    </w:p>
    <w:p>
      <w:pPr>
        <w:spacing w:after="100"/>
      </w:pPr>
      <w:r>
        <w:rPr>
          <w:rFonts w:ascii="Arial" w:hAnsi="Arial" w:eastAsia="Arial"/>
          <w:b w:val="0"/>
          <w:i w:val="0"/>
          <w:color w:val="212121"/>
          <w:sz w:val="19"/>
        </w:rPr>
        <w:t>Fold-shift must be reported with its panel and its n. A compound with FS = 3 measured against one mutant in one assay has not been characterised. The panel below is the minimum: ITD alone, ITD plus each common activation-loop substitution, and ITD plus the gatekeeper substitution.</w:t>
      </w:r>
    </w:p>
    <w:p>
      <w:pPr>
        <w:spacing w:before="120" w:after="60"/>
        <w:jc w:val="center"/>
      </w:pPr>
      <w:r>
        <w:drawing>
          <wp:inline xmlns:a="http://schemas.openxmlformats.org/drawingml/2006/main" xmlns:pic="http://schemas.openxmlformats.org/drawingml/2006/picture">
            <wp:extent cx="5943600" cy="4186652"/>
            <wp:docPr id="2" name="Picture 2"/>
            <wp:cNvGraphicFramePr>
              <a:graphicFrameLocks noChangeAspect="1"/>
            </wp:cNvGraphicFramePr>
            <a:graphic>
              <a:graphicData uri="http://schemas.openxmlformats.org/drawingml/2006/picture">
                <pic:pic>
                  <pic:nvPicPr>
                    <pic:cNvPr id="0" name="Flt3_inhibitor_landscape.png"/>
                    <pic:cNvPicPr/>
                  </pic:nvPicPr>
                  <pic:blipFill>
                    <a:blip r:embed="rId10"/>
                    <a:stretch>
                      <a:fillRect/>
                    </a:stretch>
                  </pic:blipFill>
                  <pic:spPr>
                    <a:xfrm>
                      <a:off x="0" y="0"/>
                      <a:ext cx="5943600" cy="4186652"/>
                    </a:xfrm>
                    <a:prstGeom prst="rect"/>
                  </pic:spPr>
                </pic:pic>
              </a:graphicData>
            </a:graphic>
          </wp:inline>
        </w:drawing>
      </w:r>
    </w:p>
    <w:tbl>
      <w:tblPr>
        <w:tblW w:type="auto" w:w="0"/>
        <w:tblLook w:firstColumn="1" w:firstRow="1" w:lastColumn="0" w:lastRow="0" w:noHBand="0" w:noVBand="1" w:val="04A0"/>
      </w:tblPr>
      <w:tblGrid>
        <w:gridCol w:w="9972"/>
      </w:tblGrid>
      <w:tr>
        <w:tc>
          <w:tcPr>
            <w:tcW w:type="dxa" w:w="9504"/>
            <w:shd w:val="clear" w:color="auto" w:fill="F0F4F8"/>
            <w:tcBorders>
              <w:top w:val="single" w:sz="4" w:color="D6DEE7"/>
              <w:bottom w:val="single" w:sz="4" w:color="D6DEE7"/>
              <w:left w:val="single" w:sz="4" w:color="D6DEE7"/>
              <w:right w:val="single" w:sz="4" w:color="D6DEE7"/>
            </w:tcBorders>
          </w:tcPr>
          <w:p>
            <w:pPr>
              <w:spacing w:before="60" w:after="60"/>
            </w:pPr>
            <w:r>
              <w:rPr>
                <w:rFonts w:ascii="Arial" w:hAnsi="Arial" w:eastAsia="Arial"/>
                <w:b/>
                <w:i w:val="0"/>
                <w:color w:val="0D1B2A"/>
                <w:sz w:val="16"/>
              </w:rPr>
              <w:t xml:space="preserve">Figure.  </w:t>
            </w:r>
            <w:r>
              <w:rPr>
                <w:rFonts w:ascii="Arial" w:hAnsi="Arial" w:eastAsia="Arial"/>
                <w:b w:val="0"/>
                <w:i w:val="0"/>
                <w:color w:val="212121"/>
                <w:sz w:val="16"/>
              </w:rPr>
              <w:t>FLT3 inhibitor landscape computed from ChEMBL target CHEMBL1974. (a) Activation-loop fold-shift per agent with the number of underlying records; type II agents lose potency, type I do not. (b) Potency against FLT3-ITD versus lipophilicity with lipophilic-ligand-efficiency reference lines. (c) Contacted residues per ATP-site region from the co-complex structures, with the back-pocket row highlighted.</w:t>
            </w:r>
          </w:p>
        </w:tc>
      </w:tr>
    </w:tbl>
    <w:p>
      <w:pPr>
        <w:spacing w:after="60"/>
      </w:pPr>
    </w:p>
    <w:tbl>
      <w:tblPr>
        <w:tblW w:type="auto" w:w="0"/>
        <w:jc w:val="left"/>
        <w:tblLayout w:type="fixed"/>
        <w:tblLook w:firstColumn="1" w:firstRow="1" w:lastColumn="0" w:lastRow="0" w:noHBand="0" w:noVBand="1" w:val="04A0"/>
      </w:tblPr>
      <w:tblGrid>
        <w:gridCol w:w="1425"/>
        <w:gridCol w:w="1425"/>
        <w:gridCol w:w="1425"/>
        <w:gridCol w:w="1425"/>
        <w:gridCol w:w="1425"/>
        <w:gridCol w:w="1425"/>
        <w:gridCol w:w="1425"/>
      </w:tblGrid>
      <w:tr>
        <w:tc>
          <w:tcPr>
            <w:tcW w:type="dxa" w:w="172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Agent</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Class</w:t>
            </w:r>
          </w:p>
        </w:tc>
        <w:tc>
          <w:tcPr>
            <w:tcW w:type="dxa" w:w="129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ITD (nM)</w:t>
            </w:r>
          </w:p>
        </w:tc>
        <w:tc>
          <w:tcPr>
            <w:tcW w:type="dxa" w:w="172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Act.-loop (nM)</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FS</w:t>
            </w:r>
          </w:p>
        </w:tc>
        <w:tc>
          <w:tcPr>
            <w:tcW w:type="dxa" w:w="129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n records</w:t>
            </w:r>
          </w:p>
        </w:tc>
        <w:tc>
          <w:tcPr>
            <w:tcW w:type="dxa" w:w="129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FS F691L</w:t>
            </w:r>
          </w:p>
        </w:tc>
      </w:tr>
      <w:tr>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lestaurtinib</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0.66</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0.44</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r>
      <w:tr>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midostaurin</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11.0</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6.8</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0.62</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r>
      <w:tr>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sunitinib</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5.0</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4.3</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0.86</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r>
      <w:tr>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1.8</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2.01</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1.12</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5.6</w:t>
            </w:r>
          </w:p>
        </w:tc>
      </w:tr>
      <w:tr>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crenolanib</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1.3</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2.15</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1.65</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16.9</w:t>
            </w:r>
          </w:p>
        </w:tc>
      </w:tr>
      <w:tr>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pexidartinib</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II</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18.0</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5.0</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0.28</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r>
      <w:tr>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sorafenib</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II</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20.0</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82.0</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4.1</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43.0</w:t>
            </w:r>
          </w:p>
        </w:tc>
      </w:tr>
      <w:tr>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II</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2.8</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137.0</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48.84</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121.2</w:t>
            </w:r>
          </w:p>
        </w:tc>
      </w:tr>
      <w:tr>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tandutinib</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II</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21.05</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1800.0</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85.51</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r>
      <w:tr>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ponatinib</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II</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438.0</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THE RESULT, AND ITS LIMITS  </w:t>
            </w:r>
            <w:r>
              <w:rPr>
                <w:rFonts w:ascii="Arial" w:hAnsi="Arial" w:eastAsia="Arial"/>
                <w:b w:val="0"/>
                <w:i w:val="0"/>
                <w:color w:val="212121"/>
                <w:sz w:val="17"/>
              </w:rPr>
              <w:t>Median activation-loop fold-shift is 0.86 for the five type I agents and 26.5 for the four type II agents - a roughly 30-fold difference in class behaviour, and the mechanistic reason is the back-pocket dependence quantified in 30.1. The honest statistical statement is that a Mann-Whitney test on this 9-compound set gives p = 0.143: the effect size is large but the set is far too small for significance, and the type II group includes one agent (pexidartinib) whose value rests on a single record. Treat this as a mechanistic consistency check against known pharmacology, not as an independent statistical finding. Potency values are medians over heterogeneous ChEMBL assay conditions, so they are indicative of class behaviour rather than definitive head-to-head comparisons.</w:t>
            </w:r>
          </w:p>
        </w:tc>
      </w:tr>
    </w:tbl>
    <w:p>
      <w:pPr>
        <w:spacing w:after="60"/>
      </w:pPr>
    </w:p>
    <w:p>
      <w:pPr>
        <w:spacing w:before="220" w:after="80"/>
        <w:pBdr>
          <w:left w:val="single" w:sz="18" w:space="8" w:color="00695C"/>
        </w:pBdr>
      </w:pPr>
      <w:r>
        <w:rPr>
          <w:rFonts w:ascii="Arial" w:hAnsi="Arial" w:eastAsia="Arial"/>
          <w:b/>
          <w:i w:val="0"/>
          <w:color w:val="00695C"/>
          <w:sz w:val="21"/>
        </w:rPr>
        <w:t xml:space="preserve">  30.3  Gatekeeper and Compound Escape</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F691L is the FLT3 gatekeeper substitution, positionally analogous to</w:t>
              <w:br/>
              <w:t>the gatekeeper substitutions that defeat inhibitors of other kinases</w:t>
            </w:r>
          </w:p>
          <w:p>
            <w:pPr>
              <w:spacing w:before="0" w:after="60"/>
            </w:pPr>
            <w:r>
              <w:rPr>
                <w:rFonts w:ascii="Arial" w:hAnsi="Arial" w:eastAsia="Arial"/>
                <w:b/>
                <w:i w:val="0"/>
                <w:color w:val="00695C"/>
                <w:sz w:val="16"/>
              </w:rPr>
              <w:t>Gatekeeper Escape</w:t>
            </w:r>
          </w:p>
        </w:tc>
      </w:tr>
    </w:tbl>
    <w:p>
      <w:pPr>
        <w:spacing w:after="40"/>
      </w:pPr>
    </w:p>
    <w:p>
      <w:pPr>
        <w:spacing w:after="100"/>
      </w:pPr>
      <w:r>
        <w:rPr>
          <w:rFonts w:ascii="Arial" w:hAnsi="Arial" w:eastAsia="Arial"/>
          <w:b w:val="0"/>
          <w:i w:val="0"/>
          <w:color w:val="212121"/>
          <w:sz w:val="19"/>
        </w:rPr>
        <w:t>The gatekeeper shifts potency for both classes in the retrieved data, but by very different margins: 5.6-fold for gilteritinib and 16.9-fold for crenolanib against 121-fold for quizartinib and 43-fold for sorafenib. Note that gilteritinib makes no contact with F691 in 6JQR, so its residual shift is an indirect packing effect rather than a lost direct contact - which is the structural argument for why a type I chemotype has more room to absorb this substitution. The F691L numbers rest on one to three records each and are the weakest data in this volume.</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Compound resistance:  FS_total for ITD + AL + gatekeeper is NOT the product</w:t>
              <w:br/>
              <w:t xml:space="preserve">  of the single-mutant fold-shifts; it must be measured</w:t>
            </w:r>
          </w:p>
          <w:p>
            <w:pPr>
              <w:spacing w:before="0" w:after="60"/>
            </w:pPr>
            <w:r>
              <w:rPr>
                <w:rFonts w:ascii="Arial" w:hAnsi="Arial" w:eastAsia="Arial"/>
                <w:b/>
                <w:i w:val="0"/>
                <w:color w:val="00695C"/>
                <w:sz w:val="16"/>
              </w:rPr>
              <w:t>No Multiplicative Assumption</w:t>
            </w:r>
          </w:p>
        </w:tc>
      </w:tr>
    </w:tbl>
    <w:p>
      <w:pPr>
        <w:spacing w:after="40"/>
      </w:pPr>
    </w:p>
    <w:p>
      <w:pPr>
        <w:spacing w:before="220" w:after="80"/>
        <w:pBdr>
          <w:left w:val="single" w:sz="18" w:space="8" w:color="00695C"/>
        </w:pBdr>
      </w:pPr>
      <w:r>
        <w:rPr>
          <w:rFonts w:ascii="Arial" w:hAnsi="Arial" w:eastAsia="Arial"/>
          <w:b/>
          <w:i w:val="0"/>
          <w:color w:val="00695C"/>
          <w:sz w:val="21"/>
        </w:rPr>
        <w:t xml:space="preserve">  30.4  Selection Pressure and the Escape Budget</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P(escape clone present) = 1 - exp(-u x N_cells)</w:t>
            </w:r>
          </w:p>
          <w:p>
            <w:pPr>
              <w:spacing w:before="0" w:after="60"/>
            </w:pPr>
            <w:r>
              <w:rPr>
                <w:rFonts w:ascii="Arial" w:hAnsi="Arial" w:eastAsia="Arial"/>
                <w:b/>
                <w:i w:val="0"/>
                <w:color w:val="00695C"/>
                <w:sz w:val="16"/>
              </w:rPr>
              <w:t>Pre-Existing Resistance (Vol. III, 22.1)</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Suppression condition: the inhibitor must hold every accessible</w:t>
              <w:br/>
              <w:t>single-mutant escape route below its cellular IC90 at C_trough</w:t>
            </w:r>
          </w:p>
          <w:p>
            <w:pPr>
              <w:spacing w:before="0" w:after="60"/>
            </w:pPr>
            <w:r>
              <w:rPr>
                <w:rFonts w:ascii="Arial" w:hAnsi="Arial" w:eastAsia="Arial"/>
                <w:b/>
                <w:i w:val="0"/>
                <w:color w:val="00695C"/>
                <w:sz w:val="16"/>
              </w:rPr>
              <w:t>Design Target</w:t>
            </w:r>
          </w:p>
        </w:tc>
      </w:tr>
    </w:tbl>
    <w:p>
      <w:pPr>
        <w:spacing w:after="4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WHY SINGLE-AGENT ON-TARGET COVERAGE IS THE WHOLE GAME  </w:t>
            </w:r>
            <w:r>
              <w:rPr>
                <w:rFonts w:ascii="Arial" w:hAnsi="Arial" w:eastAsia="Arial"/>
                <w:b w:val="0"/>
                <w:i w:val="0"/>
                <w:color w:val="212121"/>
                <w:sz w:val="17"/>
              </w:rPr>
              <w:t>Leukaemic burden at diagnosis is large enough that escape substitutions are available before the first dose. A compound that covers the activation loop and the gatekeeper removes the two dominant on-target routes at once, which is why breadth across the mutant panel is worth more than incremental potency against ITD alone. Once on-target routes are closed, escape moves off-target - to RAS-pathway activation, which the co-mutation data in 29.3 show is largely absent at diagnosis and therefore available later.</w:t>
            </w:r>
          </w:p>
        </w:tc>
      </w:tr>
    </w:tbl>
    <w:p>
      <w:pPr>
        <w:spacing w:after="60"/>
      </w:pPr>
    </w:p>
    <w:p>
      <w:pPr>
        <w:shd w:val="clear" w:color="auto" w:fill="0D1B2A"/>
        <w:spacing w:before="280" w:after="160"/>
      </w:pPr>
      <w:r>
        <w:rPr>
          <w:rFonts w:ascii="Arial" w:hAnsi="Arial" w:eastAsia="Arial"/>
          <w:b/>
          <w:i w:val="0"/>
          <w:color w:val="FFFFFF"/>
          <w:sz w:val="23"/>
        </w:rPr>
        <w:t xml:space="preserve">  XXXI.   FROM BIOCHEMICAL POTENCY TO TARGET COVERAGE IN PATIENTS</w:t>
      </w:r>
    </w:p>
    <w:p>
      <w:pPr>
        <w:spacing w:after="100"/>
      </w:pPr>
      <w:r>
        <w:rPr>
          <w:rFonts w:ascii="Arial" w:hAnsi="Arial" w:eastAsia="Arial"/>
          <w:b w:val="0"/>
          <w:i w:val="0"/>
          <w:color w:val="212121"/>
          <w:sz w:val="19"/>
        </w:rPr>
        <w:t>FLT3 inhibitors fail the translation step more often than the potency step. Three corrections stand between a biochemical IC50 and a defensible prediction of target coverage, and this chemotype is unusually exposed to all three.</w:t>
      </w:r>
    </w:p>
    <w:p>
      <w:pPr>
        <w:spacing w:before="220" w:after="80"/>
        <w:pBdr>
          <w:left w:val="single" w:sz="18" w:space="8" w:color="00695C"/>
        </w:pBdr>
      </w:pPr>
      <w:r>
        <w:rPr>
          <w:rFonts w:ascii="Arial" w:hAnsi="Arial" w:eastAsia="Arial"/>
          <w:b/>
          <w:i w:val="0"/>
          <w:color w:val="00695C"/>
          <w:sz w:val="21"/>
        </w:rPr>
        <w:t xml:space="preserve">  31.1  Unbound Potency</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C_u = f_u x C_total</w:t>
            </w:r>
          </w:p>
          <w:p>
            <w:pPr>
              <w:spacing w:before="0" w:after="60"/>
            </w:pPr>
            <w:r>
              <w:rPr>
                <w:rFonts w:ascii="Arial" w:hAnsi="Arial" w:eastAsia="Arial"/>
                <w:b/>
                <w:i w:val="0"/>
                <w:color w:val="00695C"/>
                <w:sz w:val="16"/>
              </w:rPr>
              <w:t>Unbound Concentration</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IC50_unbound-equivalent = IC50(assay) x (f_u,assay / f_u,plasma)</w:t>
            </w:r>
          </w:p>
          <w:p>
            <w:pPr>
              <w:spacing w:before="0" w:after="60"/>
            </w:pPr>
            <w:r>
              <w:rPr>
                <w:rFonts w:ascii="Arial" w:hAnsi="Arial" w:eastAsia="Arial"/>
                <w:b/>
                <w:i w:val="0"/>
                <w:color w:val="00695C"/>
                <w:sz w:val="16"/>
              </w:rPr>
              <w:t>Protein-Binding Correction</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Occupancy at trough:  RO = C_u,trough / (C_u,trough + K_d)</w:t>
            </w:r>
          </w:p>
          <w:p>
            <w:pPr>
              <w:spacing w:before="0" w:after="60"/>
            </w:pPr>
            <w:r>
              <w:rPr>
                <w:rFonts w:ascii="Arial" w:hAnsi="Arial" w:eastAsia="Arial"/>
                <w:b/>
                <w:i w:val="0"/>
                <w:color w:val="00695C"/>
                <w:sz w:val="16"/>
              </w:rPr>
              <w:t>Unbound Target Occupancy</w:t>
            </w:r>
          </w:p>
        </w:tc>
      </w:tr>
    </w:tbl>
    <w:p>
      <w:pPr>
        <w:spacing w:after="40"/>
      </w:pP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THE CHEMOTYPE-SPECIFIC WARNING  </w:t>
            </w:r>
            <w:r>
              <w:rPr>
                <w:rFonts w:ascii="Arial" w:hAnsi="Arial" w:eastAsia="Arial"/>
                <w:b w:val="0"/>
                <w:i w:val="0"/>
                <w:color w:val="212121"/>
                <w:sz w:val="17"/>
              </w:rPr>
              <w:t>Section XXX shows type II FLT3 agents cluster at high lipophilicity - mean ALogP 5.23 against 3.87 for the type I agents in this set - and high lipophilicity predicts high plasma protein binding. A potency measured in a low-protein biochemical buffer can therefore overstate achievable coverage by one to two orders of magnitude. Measure f_u in the relevant matrix, report every potency as unbound-equivalent, and never compare a buffer IC50 with a plasma-containing cellular IC50.</w:t>
            </w:r>
          </w:p>
        </w:tc>
      </w:tr>
    </w:tbl>
    <w:p>
      <w:pPr>
        <w:spacing w:after="60"/>
      </w:pPr>
    </w:p>
    <w:p>
      <w:pPr>
        <w:spacing w:before="220" w:after="80"/>
        <w:pBdr>
          <w:left w:val="single" w:sz="18" w:space="8" w:color="00695C"/>
        </w:pBdr>
      </w:pPr>
      <w:r>
        <w:rPr>
          <w:rFonts w:ascii="Arial" w:hAnsi="Arial" w:eastAsia="Arial"/>
          <w:b/>
          <w:i w:val="0"/>
          <w:color w:val="00695C"/>
          <w:sz w:val="21"/>
        </w:rPr>
        <w:t xml:space="preserve">  31.2  Plasma Inhibitory Activity - the FLT3-Specific Endpoint</w:t>
      </w:r>
    </w:p>
    <w:p>
      <w:pPr>
        <w:spacing w:after="100"/>
      </w:pPr>
      <w:r>
        <w:rPr>
          <w:rFonts w:ascii="Arial" w:hAnsi="Arial" w:eastAsia="Arial"/>
          <w:b w:val="0"/>
          <w:i w:val="0"/>
          <w:color w:val="212121"/>
          <w:sz w:val="19"/>
        </w:rPr>
        <w:t>The plasma inhibitory activity assay is the pharmacodynamic measurement that FLT3 development is built on and that has no close analogue in other target classes. Patient plasma taken at a chosen timepoint is applied to a FLT3-ITD-dependent reporter cell line, and phosphorylated FLT3 is quantified. It integrates exposure, protein binding and active metabolites into a single number, which is exactly what the corrections in 31.1 are trying to approximate.</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PIA(%) = 100 x [1 - (pFLT3 signal in patient plasma at time t /</w:t>
              <w:br/>
              <w:t xml:space="preserve">                     pFLT3 signal in baseline or control plasma)]</w:t>
            </w:r>
          </w:p>
          <w:p>
            <w:pPr>
              <w:spacing w:before="0" w:after="60"/>
            </w:pPr>
            <w:r>
              <w:rPr>
                <w:rFonts w:ascii="Arial" w:hAnsi="Arial" w:eastAsia="Arial"/>
                <w:b/>
                <w:i w:val="0"/>
                <w:color w:val="00695C"/>
                <w:sz w:val="16"/>
              </w:rPr>
              <w:t>Plasma Inhibitory Activity</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Programme criterion: sustained deep pFLT3 inhibition at C_trough,</w:t>
              <w:br/>
              <w:t xml:space="preserve">  measured in plasma rather than inferred from a biochemical IC50</w:t>
            </w:r>
          </w:p>
          <w:p>
            <w:pPr>
              <w:spacing w:before="0" w:after="60"/>
            </w:pPr>
            <w:r>
              <w:rPr>
                <w:rFonts w:ascii="Arial" w:hAnsi="Arial" w:eastAsia="Arial"/>
                <w:b/>
                <w:i w:val="0"/>
                <w:color w:val="00695C"/>
                <w:sz w:val="16"/>
              </w:rPr>
              <w:t>PD Criterion</w:t>
            </w:r>
          </w:p>
        </w:tc>
      </w:tr>
    </w:tbl>
    <w:p>
      <w:pPr>
        <w:spacing w:after="40"/>
      </w:pPr>
    </w:p>
    <w:tbl>
      <w:tblPr>
        <w:tblW w:type="auto" w:w="0"/>
        <w:tblLook w:firstColumn="1" w:firstRow="1" w:lastColumn="0" w:lastRow="0" w:noHBand="0" w:noVBand="1" w:val="04A0"/>
      </w:tblPr>
      <w:tblGrid>
        <w:gridCol w:w="9972"/>
      </w:tblGrid>
      <w:tr>
        <w:tc>
          <w:tcPr>
            <w:tcW w:type="dxa" w:w="9504"/>
            <w:shd w:val="clear" w:color="auto" w:fill="FFF8E1"/>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8B6914"/>
                <w:sz w:val="17"/>
              </w:rPr>
              <w:t xml:space="preserve">REPORTING RULE  </w:t>
            </w:r>
            <w:r>
              <w:rPr>
                <w:rFonts w:ascii="Arial" w:hAnsi="Arial" w:eastAsia="Arial"/>
                <w:b w:val="0"/>
                <w:i w:val="0"/>
                <w:color w:val="212121"/>
                <w:sz w:val="17"/>
              </w:rPr>
              <w:t>The specific inhibition threshold associated with clinical response should be taken from the primary PIA literature for the agent class and cited, not carried over from another programme. What is transferable is the requirement itself: define the threshold, the timepoint, the reporter line and the reference plasma before the trial, and power the PD sampling to detect failure at trough rather than at peak.</w:t>
            </w:r>
          </w:p>
        </w:tc>
      </w:tr>
    </w:tbl>
    <w:p>
      <w:pPr>
        <w:spacing w:after="60"/>
      </w:pPr>
    </w:p>
    <w:p>
      <w:pPr>
        <w:spacing w:before="220" w:after="80"/>
        <w:pBdr>
          <w:left w:val="single" w:sz="18" w:space="8" w:color="00695C"/>
        </w:pBdr>
      </w:pPr>
      <w:r>
        <w:rPr>
          <w:rFonts w:ascii="Arial" w:hAnsi="Arial" w:eastAsia="Arial"/>
          <w:b/>
          <w:i w:val="0"/>
          <w:color w:val="00695C"/>
          <w:sz w:val="21"/>
        </w:rPr>
        <w:t xml:space="preserve">  31.3  Proximal and Distal Pharmacodynamics</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Proximal:  pFLT3, and pSTAT5 as the principal downstream node</w:t>
            </w:r>
          </w:p>
          <w:p>
            <w:pPr>
              <w:spacing w:before="0" w:after="60"/>
            </w:pPr>
            <w:r>
              <w:rPr>
                <w:rFonts w:ascii="Arial" w:hAnsi="Arial" w:eastAsia="Arial"/>
                <w:b/>
                <w:i w:val="0"/>
                <w:color w:val="00695C"/>
                <w:sz w:val="16"/>
              </w:rPr>
              <w:t>Signalling Readouts</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Distal:    blast differentiation, peripheral and marrow blast clearance,</w:t>
              <w:br/>
              <w:t xml:space="preserve">           ITD-specific measurable residual disease (Vol. III, XXV)</w:t>
            </w:r>
          </w:p>
          <w:p>
            <w:pPr>
              <w:spacing w:before="0" w:after="60"/>
            </w:pPr>
            <w:r>
              <w:rPr>
                <w:rFonts w:ascii="Arial" w:hAnsi="Arial" w:eastAsia="Arial"/>
                <w:b/>
                <w:i w:val="0"/>
                <w:color w:val="00695C"/>
                <w:sz w:val="16"/>
              </w:rPr>
              <w:t>Response Readouts</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MRD by ITD-specific assay: report the assay's own limit of detection;</w:t>
              <w:br/>
              <w:t xml:space="preserve">  an ITD-specific method must be designed per patient lesion</w:t>
            </w:r>
          </w:p>
          <w:p>
            <w:pPr>
              <w:spacing w:before="0" w:after="60"/>
            </w:pPr>
            <w:r>
              <w:rPr>
                <w:rFonts w:ascii="Arial" w:hAnsi="Arial" w:eastAsia="Arial"/>
                <w:b/>
                <w:i w:val="0"/>
                <w:color w:val="00695C"/>
                <w:sz w:val="16"/>
              </w:rPr>
              <w:t>MRD Caveat</w:t>
            </w:r>
          </w:p>
        </w:tc>
      </w:tr>
    </w:tbl>
    <w:p>
      <w:pPr>
        <w:spacing w:after="40"/>
      </w:pPr>
    </w:p>
    <w:p>
      <w:pPr>
        <w:spacing w:before="220" w:after="80"/>
        <w:pBdr>
          <w:left w:val="single" w:sz="18" w:space="8" w:color="00695C"/>
        </w:pBdr>
      </w:pPr>
      <w:r>
        <w:rPr>
          <w:rFonts w:ascii="Arial" w:hAnsi="Arial" w:eastAsia="Arial"/>
          <w:b/>
          <w:i w:val="0"/>
          <w:color w:val="00695C"/>
          <w:sz w:val="21"/>
        </w:rPr>
        <w:t xml:space="preserve">  31.4  Selectivity - Where the Toxicity Comes From</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SI_KIT = IC50(KIT) / IC50(FLT3-ITD)      target: SI_KIT &gt; 100</w:t>
            </w:r>
          </w:p>
          <w:p>
            <w:pPr>
              <w:spacing w:before="0" w:after="60"/>
            </w:pPr>
            <w:r>
              <w:rPr>
                <w:rFonts w:ascii="Arial" w:hAnsi="Arial" w:eastAsia="Arial"/>
                <w:b/>
                <w:i w:val="0"/>
                <w:color w:val="00695C"/>
                <w:sz w:val="16"/>
              </w:rPr>
              <w:t>KIT Selectivity Index</w:t>
            </w:r>
          </w:p>
        </w:tc>
      </w:tr>
    </w:tbl>
    <w:p>
      <w:pPr>
        <w:spacing w:after="40"/>
      </w:pPr>
    </w:p>
    <w:p>
      <w:pPr>
        <w:spacing w:after="100"/>
      </w:pPr>
      <w:r>
        <w:rPr>
          <w:rFonts w:ascii="Arial" w:hAnsi="Arial" w:eastAsia="Arial"/>
          <w:b w:val="0"/>
          <w:i w:val="0"/>
          <w:color w:val="212121"/>
          <w:sz w:val="19"/>
        </w:rPr>
        <w:t>KIT inhibition is the principal driver of on-target myelosuppression for this class, and the co-mutation data give no efficacy argument to offset it: KIT is mutated in only 2.0% of the adult cohort and is not enriched in ITD-positive cases. KIT selectivity is therefore a pure safety parameter, and it belongs in the primary screening cascade rather than in a late off-target panel.</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Broad panel: report the fraction of a kinase panel inhibited &gt;50%</w:t>
              <w:br/>
              <w:t xml:space="preserve">  at a fixed multiple of the FLT3 IC50, plus selectivity entropy (Vol. II, 18.4)</w:t>
            </w:r>
          </w:p>
          <w:p>
            <w:pPr>
              <w:spacing w:before="0" w:after="60"/>
            </w:pPr>
            <w:r>
              <w:rPr>
                <w:rFonts w:ascii="Arial" w:hAnsi="Arial" w:eastAsia="Arial"/>
                <w:b/>
                <w:i w:val="0"/>
                <w:color w:val="00695C"/>
                <w:sz w:val="16"/>
              </w:rPr>
              <w:t>Panel Selectivity</w:t>
            </w:r>
          </w:p>
        </w:tc>
      </w:tr>
    </w:tbl>
    <w:p>
      <w:pPr>
        <w:spacing w:after="40"/>
      </w:pP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CLINICAL FRAMING  </w:t>
            </w:r>
            <w:r>
              <w:rPr>
                <w:rFonts w:ascii="Arial" w:hAnsi="Arial" w:eastAsia="Arial"/>
                <w:b w:val="0"/>
                <w:i w:val="0"/>
                <w:color w:val="212121"/>
                <w:sz w:val="17"/>
              </w:rPr>
              <w:t>Differentiation syndrome and QT prolongation are recognised class effects for FLT3 inhibitors and are managed clinically through monitoring, supportive care and dose modification. The design-side consequences are that hERG and QT liability belong in the cascade early (see XXXII), and that a differentiation-driven early rise in blast counts must be distinguished in protocol from progression. Neither is a dosing instruction: management for any patient is a decision for the treating clinician with the full clinical picture.</w:t>
            </w:r>
          </w:p>
        </w:tc>
      </w:tr>
    </w:tbl>
    <w:p>
      <w:pPr>
        <w:spacing w:after="60"/>
      </w:pPr>
    </w:p>
    <w:p>
      <w:pPr>
        <w:shd w:val="clear" w:color="auto" w:fill="0D1B2A"/>
        <w:spacing w:before="280" w:after="160"/>
      </w:pPr>
      <w:r>
        <w:rPr>
          <w:rFonts w:ascii="Arial" w:hAnsi="Arial" w:eastAsia="Arial"/>
          <w:b/>
          <w:i w:val="0"/>
          <w:color w:val="FFFFFF"/>
          <w:sz w:val="23"/>
        </w:rPr>
        <w:t xml:space="preserve">  XXXII.   COMBINATION STRATEGY AND RESISTANCE SUPPRESSION</w:t>
      </w:r>
    </w:p>
    <w:p>
      <w:pPr>
        <w:spacing w:after="100"/>
      </w:pPr>
      <w:r>
        <w:rPr>
          <w:rFonts w:ascii="Arial" w:hAnsi="Arial" w:eastAsia="Arial"/>
          <w:b w:val="0"/>
          <w:i w:val="0"/>
          <w:color w:val="212121"/>
          <w:sz w:val="19"/>
        </w:rPr>
        <w:t>No single-agent FLT3 inhibitor has proved curative, and the reason is structural rather than pharmacological: FLT3-ITD is a proliferative lesion sitting on top of a founding clone defined by other mutations. Inhibiting FLT3 removes the proliferative advantage without eliminating the clone that carries it. Combination design therefore has to target the survival dependency and the founding lesion, not just add a second FLT3 inhibitor.</w:t>
      </w:r>
    </w:p>
    <w:p>
      <w:pPr>
        <w:spacing w:before="220" w:after="80"/>
        <w:pBdr>
          <w:left w:val="single" w:sz="18" w:space="8" w:color="00695C"/>
        </w:pBdr>
      </w:pPr>
      <w:r>
        <w:rPr>
          <w:rFonts w:ascii="Arial" w:hAnsi="Arial" w:eastAsia="Arial"/>
          <w:b/>
          <w:i w:val="0"/>
          <w:color w:val="00695C"/>
          <w:sz w:val="21"/>
        </w:rPr>
        <w:t xml:space="preserve">  32.1  Apoptotic-Priming Combinations</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FLT3-ITD signalling raises MCL1 and phosphorylates BAD via STAT5/PIM;</w:t>
              <w:br/>
              <w:t>FLT3 inhibition lowers MCL1 and shifts dependence toward BCL2</w:t>
            </w:r>
          </w:p>
          <w:p>
            <w:pPr>
              <w:spacing w:before="0" w:after="60"/>
            </w:pPr>
            <w:r>
              <w:rPr>
                <w:rFonts w:ascii="Arial" w:hAnsi="Arial" w:eastAsia="Arial"/>
                <w:b/>
                <w:i w:val="0"/>
                <w:color w:val="00695C"/>
                <w:sz w:val="16"/>
              </w:rPr>
              <w:t>Mechanistic Rationale</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Combination criterion: measure synergy against a NAMED null model</w:t>
              <w:br/>
              <w:t xml:space="preserve">  (Bliss, Loewe/CI or ZIP - Vol. II, XIV) across a full dose matrix</w:t>
            </w:r>
          </w:p>
          <w:p>
            <w:pPr>
              <w:spacing w:before="0" w:after="60"/>
            </w:pPr>
            <w:r>
              <w:rPr>
                <w:rFonts w:ascii="Arial" w:hAnsi="Arial" w:eastAsia="Arial"/>
                <w:b/>
                <w:i w:val="0"/>
                <w:color w:val="00695C"/>
                <w:sz w:val="16"/>
              </w:rPr>
              <w:t>Synergy Requirement</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Report the concentration ratio at which synergy occurs AND whether</w:t>
              <w:br/>
              <w:t xml:space="preserve">  both agents reach those unbound concentrations at tolerated doses</w:t>
            </w:r>
          </w:p>
          <w:p>
            <w:pPr>
              <w:spacing w:before="0" w:after="60"/>
            </w:pPr>
            <w:r>
              <w:rPr>
                <w:rFonts w:ascii="Arial" w:hAnsi="Arial" w:eastAsia="Arial"/>
                <w:b/>
                <w:i w:val="0"/>
                <w:color w:val="00695C"/>
                <w:sz w:val="16"/>
              </w:rPr>
              <w:t>Translatability Test</w:t>
            </w:r>
          </w:p>
        </w:tc>
      </w:tr>
    </w:tbl>
    <w:p>
      <w:pPr>
        <w:spacing w:after="40"/>
      </w:pPr>
    </w:p>
    <w:tbl>
      <w:tblPr>
        <w:tblW w:type="auto" w:w="0"/>
        <w:tblLook w:firstColumn="1" w:firstRow="1" w:lastColumn="0" w:lastRow="0" w:noHBand="0" w:noVBand="1" w:val="04A0"/>
      </w:tblPr>
      <w:tblGrid>
        <w:gridCol w:w="9972"/>
      </w:tblGrid>
      <w:tr>
        <w:tc>
          <w:tcPr>
            <w:tcW w:type="dxa" w:w="9504"/>
            <w:shd w:val="clear" w:color="auto" w:fill="FFF8E1"/>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8B6914"/>
                <w:sz w:val="17"/>
              </w:rPr>
              <w:t xml:space="preserve">THE TEST MOST SYNERGY CLAIMS FAIL  </w:t>
            </w:r>
            <w:r>
              <w:rPr>
                <w:rFonts w:ascii="Arial" w:hAnsi="Arial" w:eastAsia="Arial"/>
                <w:b w:val="0"/>
                <w:i w:val="0"/>
                <w:color w:val="212121"/>
                <w:sz w:val="17"/>
              </w:rPr>
              <w:t>A synergy score computed at concentrations neither agent reaches in plasma is not evidence of clinical benefit. For this class the binding correction in 31.1 makes that failure especially easy: an in vitro matrix run in low-protein medium can show strong synergy at unbound concentrations an order of magnitude above what the tolerated human dose delivers. Compute the matrix, then check both axes against achievable unbound exposure before claiming anything.</w:t>
            </w:r>
          </w:p>
        </w:tc>
      </w:tr>
    </w:tbl>
    <w:p>
      <w:pPr>
        <w:spacing w:after="60"/>
      </w:pPr>
    </w:p>
    <w:p>
      <w:pPr>
        <w:spacing w:before="220" w:after="80"/>
        <w:pBdr>
          <w:left w:val="single" w:sz="18" w:space="8" w:color="00695C"/>
        </w:pBdr>
      </w:pPr>
      <w:r>
        <w:rPr>
          <w:rFonts w:ascii="Arial" w:hAnsi="Arial" w:eastAsia="Arial"/>
          <w:b/>
          <w:i w:val="0"/>
          <w:color w:val="00695C"/>
          <w:sz w:val="21"/>
        </w:rPr>
        <w:t xml:space="preserve">  32.2  Targeting the Founding Clone</w:t>
      </w:r>
    </w:p>
    <w:p>
      <w:pPr>
        <w:spacing w:after="100"/>
      </w:pPr>
      <w:r>
        <w:rPr>
          <w:rFonts w:ascii="Arial" w:hAnsi="Arial" w:eastAsia="Arial"/>
          <w:b w:val="0"/>
          <w:i w:val="0"/>
          <w:color w:val="212121"/>
          <w:sz w:val="19"/>
        </w:rPr>
        <w:t>The co-mutation analysis in 29.3 is a direct argument about combination partners. The dominant context is NPM1 and DNMT3A co-mutation - these are founding lesions present in the clone that persists through FLT3 inhibition. Hypomethylating agents and menin inhibitors act on that biology rather than on FLT3, which is what makes them mechanistically non-redundant partners rather than additive cytotoxicity.</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Partner selection principle: a partner should address a lesion in the</w:t>
              <w:br/>
              <w:t xml:space="preserve">  FOUNDING clone, or a survival dependency, not a parallel proliferative input</w:t>
            </w:r>
          </w:p>
          <w:p>
            <w:pPr>
              <w:spacing w:before="0" w:after="60"/>
            </w:pPr>
            <w:r>
              <w:rPr>
                <w:rFonts w:ascii="Arial" w:hAnsi="Arial" w:eastAsia="Arial"/>
                <w:b/>
                <w:i w:val="0"/>
                <w:color w:val="00695C"/>
                <w:sz w:val="16"/>
              </w:rPr>
              <w:t>Non-Redundancy</w:t>
            </w:r>
          </w:p>
        </w:tc>
      </w:tr>
    </w:tbl>
    <w:p>
      <w:pPr>
        <w:spacing w:after="40"/>
      </w:pPr>
    </w:p>
    <w:p>
      <w:pPr>
        <w:spacing w:before="220" w:after="80"/>
        <w:pBdr>
          <w:left w:val="single" w:sz="18" w:space="8" w:color="00695C"/>
        </w:pBdr>
      </w:pPr>
      <w:r>
        <w:rPr>
          <w:rFonts w:ascii="Arial" w:hAnsi="Arial" w:eastAsia="Arial"/>
          <w:b/>
          <w:i w:val="0"/>
          <w:color w:val="00695C"/>
          <w:sz w:val="21"/>
        </w:rPr>
        <w:t xml:space="preserve">  32.3  Escape Routes and What Closes Them</w:t>
      </w:r>
    </w:p>
    <w:tbl>
      <w:tblPr>
        <w:tblW w:type="auto" w:w="0"/>
        <w:jc w:val="left"/>
        <w:tblLayout w:type="fixed"/>
        <w:tblLook w:firstColumn="1" w:firstRow="1" w:lastColumn="0" w:lastRow="0" w:noHBand="0" w:noVBand="1" w:val="04A0"/>
      </w:tblPr>
      <w:tblGrid>
        <w:gridCol w:w="3324"/>
        <w:gridCol w:w="3324"/>
        <w:gridCol w:w="3324"/>
      </w:tblGrid>
      <w:tr>
        <w:tc>
          <w:tcPr>
            <w:tcW w:type="dxa" w:w="244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Escape route</w:t>
            </w:r>
          </w:p>
        </w:tc>
        <w:tc>
          <w:tcPr>
            <w:tcW w:type="dxa" w:w="388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What the data here say</w:t>
            </w:r>
          </w:p>
        </w:tc>
        <w:tc>
          <w:tcPr>
            <w:tcW w:type="dxa" w:w="31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What closes it</w:t>
            </w:r>
          </w:p>
        </w:tc>
      </w:tr>
      <w:tr>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Activation-loop substitution (D835/I836)</w:t>
            </w:r>
          </w:p>
        </w:tc>
        <w:tc>
          <w:tcPr>
            <w:tcW w:type="dxa" w:w="388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Present in 6.5% of the adult cohort at diagnosis and in 11 samples together with ITD; defeats type II agents (median FS 26.5) but not type I (0.86).</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 type I chemotype, or a chemotype whose N_bp = 0 by the 30.1 criterion.</w:t>
            </w:r>
          </w:p>
        </w:tc>
      </w:tr>
      <w:tr>
        <w:tc>
          <w:tcPr>
            <w:tcW w:type="dxa" w:w="24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Gatekeeper substitution (F691L)</w:t>
            </w:r>
          </w:p>
        </w:tc>
        <w:tc>
          <w:tcPr>
            <w:tcW w:type="dxa" w:w="388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Shifts every agent measured, from 5.6-fold (gilteritinib) to 121-fold (quizartinib). Weakest dataset in this volume: 1-3 records per agent.</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Chemotype with no direct F691 contact and slack in the hinge region; must be measured, not predicted.</w:t>
            </w:r>
          </w:p>
        </w:tc>
      </w:tr>
      <w:tr>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RAS-pathway activation</w:t>
            </w:r>
          </w:p>
        </w:tc>
        <w:tc>
          <w:tcPr>
            <w:tcW w:type="dxa" w:w="388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NRAS is near-mutually-exclusive with ITD at diagnosis (OR 0.15, q=9e-8), so this route is largely unoccupied at baseline and available under treatment.</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 combination partner acting downstream or on the founding clone; serial RAS-pathway genotyping at progression.</w:t>
            </w:r>
          </w:p>
        </w:tc>
      </w:tr>
      <w:tr>
        <w:tc>
          <w:tcPr>
            <w:tcW w:type="dxa" w:w="24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Loss of ITD dependence / lineage switch</w:t>
            </w:r>
          </w:p>
        </w:tc>
        <w:tc>
          <w:tcPr>
            <w:tcW w:type="dxa" w:w="388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Not assessable from these cohorts - requires paired diagnosis-relapse sampling.</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Paired sampling built into the trial design from the outset, not retrofitted.</w:t>
            </w:r>
          </w:p>
        </w:tc>
      </w:tr>
      <w:tr>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Inadequate target coverage (pseudo-resistance)</w:t>
            </w:r>
          </w:p>
        </w:tc>
        <w:tc>
          <w:tcPr>
            <w:tcW w:type="dxa" w:w="388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Predicted by the binding correction in 31.1; high-ALogP type II agents are most exposed.</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PIA-based confirmation of trough coverage before concluding that biology, rather than exposure, caused the failure.</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THE MOST COMMON DIAGNOSTIC ERROR  </w:t>
            </w:r>
            <w:r>
              <w:rPr>
                <w:rFonts w:ascii="Arial" w:hAnsi="Arial" w:eastAsia="Arial"/>
                <w:b w:val="0"/>
                <w:i w:val="0"/>
                <w:color w:val="212121"/>
                <w:sz w:val="17"/>
              </w:rPr>
              <w:t>Before attributing a clinical failure to a resistance mutation, confirm that the drug was covering the target at trough. Insufficient unbound exposure and true on-target resistance look identical in an efficacy readout and have opposite remedies - one needs a dose or formulation change, the other needs a different molecule. The PIA assay in 31.2 exists to separate them.</w:t>
            </w:r>
          </w:p>
        </w:tc>
      </w:tr>
    </w:tbl>
    <w:p>
      <w:pPr>
        <w:spacing w:after="60"/>
      </w:pPr>
    </w:p>
    <w:p>
      <w:pPr>
        <w:shd w:val="clear" w:color="auto" w:fill="0D1B2A"/>
        <w:spacing w:before="280" w:after="160"/>
      </w:pPr>
      <w:r>
        <w:rPr>
          <w:rFonts w:ascii="Arial" w:hAnsi="Arial" w:eastAsia="Arial"/>
          <w:b/>
          <w:i w:val="0"/>
          <w:color w:val="FFFFFF"/>
          <w:sz w:val="23"/>
        </w:rPr>
        <w:t xml:space="preserve">  XXXIII.   SCREENING CASCADE AND GO / NO-GO CRITERIA</w:t>
      </w:r>
    </w:p>
    <w:p>
      <w:pPr>
        <w:spacing w:after="100"/>
      </w:pPr>
      <w:r>
        <w:rPr>
          <w:rFonts w:ascii="Arial" w:hAnsi="Arial" w:eastAsia="Arial"/>
          <w:b w:val="0"/>
          <w:i w:val="0"/>
          <w:color w:val="212121"/>
          <w:sz w:val="19"/>
        </w:rPr>
        <w:t>A cascade is only useful if each stage has a numeric gate decided before the data arrive. The criteria below are working criteria for an FLT3-ITD programme, set from the class behaviour quantified in this volume. They are starting points to be calibrated against your own assays, not regulatory requirements.</w:t>
      </w:r>
    </w:p>
    <w:p>
      <w:pPr>
        <w:spacing w:before="220" w:after="80"/>
        <w:pBdr>
          <w:left w:val="single" w:sz="18" w:space="8" w:color="00695C"/>
        </w:pBdr>
      </w:pPr>
      <w:r>
        <w:rPr>
          <w:rFonts w:ascii="Arial" w:hAnsi="Arial" w:eastAsia="Arial"/>
          <w:b/>
          <w:i w:val="0"/>
          <w:color w:val="00695C"/>
          <w:sz w:val="21"/>
        </w:rPr>
        <w:t xml:space="preserve">  33.1  Staged Cascade</w:t>
      </w:r>
    </w:p>
    <w:tbl>
      <w:tblPr>
        <w:tblW w:type="auto" w:w="0"/>
        <w:jc w:val="left"/>
        <w:tblLayout w:type="fixed"/>
        <w:tblLook w:firstColumn="1" w:firstRow="1" w:lastColumn="0" w:lastRow="0" w:noHBand="0" w:noVBand="1" w:val="04A0"/>
      </w:tblPr>
      <w:tblGrid>
        <w:gridCol w:w="1994"/>
        <w:gridCol w:w="1994"/>
        <w:gridCol w:w="1994"/>
        <w:gridCol w:w="1994"/>
        <w:gridCol w:w="1994"/>
      </w:tblGrid>
      <w:tr>
        <w:tc>
          <w:tcPr>
            <w:tcW w:type="dxa" w:w="129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Stage</w:t>
            </w:r>
          </w:p>
        </w:tc>
        <w:tc>
          <w:tcPr>
            <w:tcW w:type="dxa" w:w="230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Assay</w:t>
            </w:r>
          </w:p>
        </w:tc>
        <w:tc>
          <w:tcPr>
            <w:tcW w:type="dxa" w:w="216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Primary readout</w:t>
            </w:r>
          </w:p>
        </w:tc>
        <w:tc>
          <w:tcPr>
            <w:tcW w:type="dxa" w:w="201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Go criterion</w:t>
            </w:r>
          </w:p>
        </w:tc>
        <w:tc>
          <w:tcPr>
            <w:tcW w:type="dxa" w:w="172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Kill criterion</w:t>
            </w:r>
          </w:p>
        </w:tc>
      </w:tr>
      <w:tr>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 Primary biochemical</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FLT3-ITD kinase-domain activity, ATP at K_m</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IC50 vs FLT3-ITD</w:t>
            </w:r>
          </w:p>
        </w:tc>
        <w:tc>
          <w:tcPr>
            <w:tcW w:type="dxa" w:w="201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IC50 &lt; 10 nM and LE &gt;= 0.30</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IC50 &gt; 100 nM</w:t>
            </w:r>
          </w:p>
        </w:tc>
      </w:tr>
      <w:tr>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 Mutant panel</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ITD + D835Y/H/V, I836del, F691L, plus WT FLT3 (33.3)</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Fold-shift FS per mutant</w:t>
            </w:r>
          </w:p>
        </w:tc>
        <w:tc>
          <w:tcPr>
            <w:tcW w:type="dxa" w:w="201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FS &lt; 5 for every member</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FS &gt; 20 for any activation-loop member</w:t>
            </w:r>
          </w:p>
        </w:tc>
      </w:tr>
      <w:tr>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 Cellular, ITD-dependent</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ITD-driven line vs ITD-negative comparator line, in 10% serum</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Cell IC50 and the ITD / non-ITD ratio</w:t>
            </w:r>
          </w:p>
        </w:tc>
        <w:tc>
          <w:tcPr>
            <w:tcW w:type="dxa" w:w="201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Cell IC50 &lt; 50 nM and ratio &gt; 20</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Ratio &lt; 5 (general cytotoxic)</w:t>
            </w:r>
          </w:p>
        </w:tc>
      </w:tr>
      <w:tr>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 Proximal PD</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pFLT3 and pSTAT5 in the ITD-driven line</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pSTAT5 IC50 vs viability IC50</w:t>
            </w:r>
          </w:p>
        </w:tc>
        <w:tc>
          <w:tcPr>
            <w:tcW w:type="dxa" w:w="201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Within 3-fold of viability IC50</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No pSTAT5 shift at 10x viability IC50</w:t>
            </w:r>
          </w:p>
        </w:tc>
      </w:tr>
      <w:tr>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 Selectivity</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KIT biochemical + cellular; broad kinase panel (31.4)</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SI_KIT and panel hit fraction</w:t>
            </w:r>
          </w:p>
        </w:tc>
        <w:tc>
          <w:tcPr>
            <w:tcW w:type="dxa" w:w="201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SI_KIT &gt; 100</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SI_KIT &lt; 10</w:t>
            </w:r>
          </w:p>
        </w:tc>
      </w:tr>
      <w:tr>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 Developability</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Solubility, permeability, microsomal and hepatocyte stability, f_u, hERG</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Unbound-corrected potency; hERG margin</w:t>
            </w:r>
          </w:p>
        </w:tc>
        <w:tc>
          <w:tcPr>
            <w:tcW w:type="dxa" w:w="201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f_u measured; hERG IC50 / free C_max &gt; 30</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hERG margin &lt; 10</w:t>
            </w:r>
          </w:p>
        </w:tc>
      </w:tr>
      <w:tr>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 In vivo PK/PD</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Single-dose PK then pSTAT5 / pFLT3 time course in the ITD model</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Unbound trough coverage vs cellular IC90</w:t>
            </w:r>
          </w:p>
        </w:tc>
        <w:tc>
          <w:tcPr>
            <w:tcW w:type="dxa" w:w="201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C_u,trough &gt; cellular IC90 at a tolerated dose</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Coverage requires an intolerable dose</w:t>
            </w:r>
          </w:p>
        </w:tc>
      </w:tr>
      <w:tr>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 In vivo efficacy</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ITD-driven xenograft or syngeneic model, plus one activation-loop model</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TGI (Vol. I, 5.5) and survival</w:t>
            </w:r>
          </w:p>
        </w:tc>
        <w:tc>
          <w:tcPr>
            <w:tcW w:type="dxa" w:w="201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Regression in the ITD model, activity retained in the mutant model</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No activity in the mutant model</w:t>
            </w:r>
          </w:p>
        </w:tc>
      </w:tr>
    </w:tbl>
    <w:p>
      <w:pPr>
        <w:spacing w:after="80"/>
      </w:pPr>
    </w:p>
    <w:p>
      <w:pPr>
        <w:spacing w:before="220" w:after="80"/>
        <w:pBdr>
          <w:left w:val="single" w:sz="18" w:space="8" w:color="00695C"/>
        </w:pBdr>
      </w:pPr>
      <w:r>
        <w:rPr>
          <w:rFonts w:ascii="Arial" w:hAnsi="Arial" w:eastAsia="Arial"/>
          <w:b/>
          <w:i w:val="0"/>
          <w:color w:val="00695C"/>
          <w:sz w:val="21"/>
        </w:rPr>
        <w:t xml:space="preserve">  33.2  Assay Acceptance Criteria</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Z' = 1 - 3(sd_pos + sd_neg) / |mean_pos - mean_neg|      require Z' &gt;= 0.5</w:t>
            </w:r>
          </w:p>
          <w:p>
            <w:pPr>
              <w:spacing w:before="0" w:after="60"/>
            </w:pPr>
            <w:r>
              <w:rPr>
                <w:rFonts w:ascii="Arial" w:hAnsi="Arial" w:eastAsia="Arial"/>
                <w:b/>
                <w:i w:val="0"/>
                <w:color w:val="00695C"/>
                <w:sz w:val="16"/>
              </w:rPr>
              <w:t>Screening Assay Quality</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Replicate agreement: |pIC50_rep1 - pIC50_rep2| &lt;= 0.3 for &gt;= 90% of pairs</w:t>
            </w:r>
          </w:p>
          <w:p>
            <w:pPr>
              <w:spacing w:before="0" w:after="60"/>
            </w:pPr>
            <w:r>
              <w:rPr>
                <w:rFonts w:ascii="Arial" w:hAnsi="Arial" w:eastAsia="Arial"/>
                <w:b/>
                <w:i w:val="0"/>
                <w:color w:val="00695C"/>
                <w:sz w:val="16"/>
              </w:rPr>
              <w:t>Reproducibility Gate</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4PL fit acceptance: Hill slope within 0.5-2.0, top and bottom plateaus</w:t>
              <w:br/>
              <w:t xml:space="preserve">  defined, and IC50 bracketed by tested concentrations</w:t>
            </w:r>
          </w:p>
          <w:p>
            <w:pPr>
              <w:spacing w:before="0" w:after="60"/>
            </w:pPr>
            <w:r>
              <w:rPr>
                <w:rFonts w:ascii="Arial" w:hAnsi="Arial" w:eastAsia="Arial"/>
                <w:b/>
                <w:i w:val="0"/>
                <w:color w:val="00695C"/>
                <w:sz w:val="16"/>
              </w:rPr>
              <w:t>Curve-Fit Gate</w:t>
            </w:r>
          </w:p>
        </w:tc>
      </w:tr>
    </w:tbl>
    <w:p>
      <w:pPr>
        <w:spacing w:after="4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THE CONTROL THAT MAKES THE CASCADE INTERPRETABLE  </w:t>
            </w:r>
            <w:r>
              <w:rPr>
                <w:rFonts w:ascii="Arial" w:hAnsi="Arial" w:eastAsia="Arial"/>
                <w:b w:val="0"/>
                <w:i w:val="0"/>
                <w:color w:val="212121"/>
                <w:sz w:val="17"/>
              </w:rPr>
              <w:t>Every cellular stage needs an ITD-independent comparator run in parallel. A compound that kills an ITD-driven line and an ITD-negative line equally is a general cytotoxic, and no amount of biochemical selectivity rescues that. The ratio of the two cellular potencies is the single most informative number in the cascade, and it is cheap to generate.</w:t>
            </w:r>
          </w:p>
        </w:tc>
      </w:tr>
    </w:tbl>
    <w:p>
      <w:pPr>
        <w:spacing w:after="60"/>
      </w:pPr>
    </w:p>
    <w:p>
      <w:pPr>
        <w:spacing w:before="220" w:after="80"/>
        <w:pBdr>
          <w:left w:val="single" w:sz="18" w:space="8" w:color="00695C"/>
        </w:pBdr>
      </w:pPr>
      <w:r>
        <w:rPr>
          <w:rFonts w:ascii="Arial" w:hAnsi="Arial" w:eastAsia="Arial"/>
          <w:b/>
          <w:i w:val="0"/>
          <w:color w:val="00695C"/>
          <w:sz w:val="21"/>
        </w:rPr>
        <w:t xml:space="preserve">  33.3  Mutant Panel - the Minimum Set</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Required panel: ITD alone; ITD + D835Y; ITD + D835H; ITD + D835V;</w:t>
              <w:br/>
              <w:t xml:space="preserve">  ITD + I836del; ITD + F691L; and wild-type FLT3 for reference</w:t>
            </w:r>
          </w:p>
          <w:p>
            <w:pPr>
              <w:spacing w:before="0" w:after="60"/>
            </w:pPr>
            <w:r>
              <w:rPr>
                <w:rFonts w:ascii="Arial" w:hAnsi="Arial" w:eastAsia="Arial"/>
                <w:b/>
                <w:i w:val="0"/>
                <w:color w:val="00695C"/>
                <w:sz w:val="16"/>
              </w:rPr>
              <w:t>Mutant Panel</w:t>
            </w:r>
          </w:p>
        </w:tc>
      </w:tr>
    </w:tbl>
    <w:p>
      <w:pPr>
        <w:spacing w:after="40"/>
      </w:pPr>
    </w:p>
    <w:p>
      <w:pPr>
        <w:spacing w:after="100"/>
      </w:pPr>
      <w:r>
        <w:rPr>
          <w:rFonts w:ascii="Arial" w:hAnsi="Arial" w:eastAsia="Arial"/>
          <w:b w:val="0"/>
          <w:i w:val="0"/>
          <w:color w:val="212121"/>
          <w:sz w:val="19"/>
        </w:rPr>
        <w:t>These are the substitutions that actually recur. In the BeatAML cohort the activation-loop events are dominated by D835Y (19 events), D835H (15), I836del (9) and D835V (7); the same ranking appears in the paediatric TARGET cohort with D835Y again first. A panel that omits D835H and I836del is not covering the observed mutational spectrum.</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Acceptance: FS &lt; 5 for every panel member AND absolute mutant IC50</w:t>
              <w:br/>
              <w:t xml:space="preserve">  below the cellular target concentration</w:t>
            </w:r>
          </w:p>
          <w:p>
            <w:pPr>
              <w:spacing w:before="0" w:after="60"/>
            </w:pPr>
            <w:r>
              <w:rPr>
                <w:rFonts w:ascii="Arial" w:hAnsi="Arial" w:eastAsia="Arial"/>
                <w:b/>
                <w:i w:val="0"/>
                <w:color w:val="00695C"/>
                <w:sz w:val="16"/>
              </w:rPr>
              <w:t>Panel Gate</w:t>
            </w:r>
          </w:p>
        </w:tc>
      </w:tr>
    </w:tbl>
    <w:p>
      <w:pPr>
        <w:spacing w:after="40"/>
      </w:pPr>
    </w:p>
    <w:p>
      <w:pPr>
        <w:shd w:val="clear" w:color="auto" w:fill="0D1B2A"/>
        <w:spacing w:before="280" w:after="160"/>
      </w:pPr>
      <w:r>
        <w:rPr>
          <w:rFonts w:ascii="Arial" w:hAnsi="Arial" w:eastAsia="Arial"/>
          <w:b/>
          <w:i w:val="0"/>
          <w:color w:val="FFFFFF"/>
          <w:sz w:val="23"/>
        </w:rPr>
        <w:t xml:space="preserve">  XXXIV.   PROGRAMME RISK REGISTER</w:t>
      </w:r>
    </w:p>
    <w:p>
      <w:pPr>
        <w:spacing w:after="100"/>
      </w:pPr>
      <w:r>
        <w:rPr>
          <w:rFonts w:ascii="Arial" w:hAnsi="Arial" w:eastAsia="Arial"/>
          <w:b w:val="0"/>
          <w:i w:val="0"/>
          <w:color w:val="212121"/>
          <w:sz w:val="19"/>
        </w:rPr>
        <w:t>The risks below are specific to FLT3-ITD rather than generic drug-development risks, each paired with the mitigation and - more importantly - the experiment that tests whether the mitigation is working. A risk without a discriminating experiment is an opinion.</w:t>
      </w:r>
    </w:p>
    <w:tbl>
      <w:tblPr>
        <w:tblW w:type="auto" w:w="0"/>
        <w:jc w:val="left"/>
        <w:tblLayout w:type="fixed"/>
        <w:tblLook w:firstColumn="1" w:firstRow="1" w:lastColumn="0" w:lastRow="0" w:noHBand="0" w:noVBand="1" w:val="04A0"/>
      </w:tblPr>
      <w:tblGrid>
        <w:gridCol w:w="2493"/>
        <w:gridCol w:w="2493"/>
        <w:gridCol w:w="2493"/>
        <w:gridCol w:w="2493"/>
      </w:tblGrid>
      <w:tr>
        <w:tc>
          <w:tcPr>
            <w:tcW w:type="dxa" w:w="194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Risk</w:t>
            </w:r>
          </w:p>
        </w:tc>
        <w:tc>
          <w:tcPr>
            <w:tcW w:type="dxa" w:w="31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Why it is real here</w:t>
            </w:r>
          </w:p>
        </w:tc>
        <w:tc>
          <w:tcPr>
            <w:tcW w:type="dxa" w:w="273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Mitigation</w:t>
            </w:r>
          </w:p>
        </w:tc>
        <w:tc>
          <w:tcPr>
            <w:tcW w:type="dxa" w:w="29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The experiment that tests it</w:t>
            </w:r>
          </w:p>
        </w:tc>
      </w:tr>
      <w:tr>
        <w:tc>
          <w:tcPr>
            <w:tcW w:type="dxa" w:w="194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Crowded competitive landscape</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Four agents are clinically precedented, two approved as single agents in the relapsed setting. A new agent with equivalent profile has no route to differentiation.</w:t>
            </w:r>
          </w:p>
        </w:tc>
        <w:tc>
          <w:tcPr>
            <w:tcW w:type="dxa" w:w="27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Define differentiation numerically at the outset - mutant-panel breadth, KIT selectivity, or combinability - and hold the programme to it.</w:t>
            </w:r>
          </w:p>
        </w:tc>
        <w:tc>
          <w:tcPr>
            <w:tcW w:type="dxa" w:w="29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Head-to-head mutant-panel and KIT selectivity comparison against the precedented agents, run in your own hands, before candidate selection.</w:t>
            </w:r>
          </w:p>
        </w:tc>
      </w:tr>
      <w:tr>
        <w:tc>
          <w:tcPr>
            <w:tcW w:type="dxa" w:w="194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On-target myelosuppression via KIT</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KIT is the principal haematological liability; the cohort data give no efficacy offset (2.0% mutated, not ITD-enriched).</w:t>
            </w:r>
          </w:p>
        </w:tc>
        <w:tc>
          <w:tcPr>
            <w:tcW w:type="dxa" w:w="27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Treat SI_KIT &gt; 100 as a primary gate, not a late characterisation.</w:t>
            </w:r>
          </w:p>
        </w:tc>
        <w:tc>
          <w:tcPr>
            <w:tcW w:type="dxa" w:w="29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KIT biochemical and cellular potency at the same stage as FLT3, with colony-forming assays on normal progenitors.</w:t>
            </w:r>
          </w:p>
        </w:tc>
      </w:tr>
      <w:tr>
        <w:tc>
          <w:tcPr>
            <w:tcW w:type="dxa" w:w="194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Activation-loop escape</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6.5% of adult cases carry it at diagnosis; it defeats the type II class (median FS 26.5).</w:t>
            </w:r>
          </w:p>
        </w:tc>
        <w:tc>
          <w:tcPr>
            <w:tcW w:type="dxa" w:w="27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Select a chemotype with N_bp = 0 by the 30.1 structural criterion.</w:t>
            </w:r>
          </w:p>
        </w:tc>
        <w:tc>
          <w:tcPr>
            <w:tcW w:type="dxa" w:w="29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The full mutant panel in 33.3, with the ITD-negative control line.</w:t>
            </w:r>
          </w:p>
        </w:tc>
      </w:tr>
      <w:tr>
        <w:tc>
          <w:tcPr>
            <w:tcW w:type="dxa" w:w="194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Gatekeeper escape (F691L)</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Shifts potency for both classes; the public dataset is thin (1-3 records per agent).</w:t>
            </w:r>
          </w:p>
        </w:tc>
        <w:tc>
          <w:tcPr>
            <w:tcW w:type="dxa" w:w="27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Build F691L into the primary panel rather than treating it as an afterthought.</w:t>
            </w:r>
          </w:p>
        </w:tc>
        <w:tc>
          <w:tcPr>
            <w:tcW w:type="dxa" w:w="29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Direct measurement - the public data are too sparse to predict from.</w:t>
            </w:r>
          </w:p>
        </w:tc>
      </w:tr>
      <w:tr>
        <w:tc>
          <w:tcPr>
            <w:tcW w:type="dxa" w:w="194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Pseudo-resistance from poor coverage</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High-ALogP type II chemotypes are heavily protein-bound; buffer potency overstates coverage.</w:t>
            </w:r>
          </w:p>
        </w:tc>
        <w:tc>
          <w:tcPr>
            <w:tcW w:type="dxa" w:w="27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Report unbound-equivalent potency throughout; make PIA the PD gate.</w:t>
            </w:r>
          </w:p>
        </w:tc>
        <w:tc>
          <w:tcPr>
            <w:tcW w:type="dxa" w:w="29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PIA at trough in the first-in-human cohorts, before any resistance claim.</w:t>
            </w:r>
          </w:p>
        </w:tc>
      </w:tr>
      <w:tr>
        <w:tc>
          <w:tcPr>
            <w:tcW w:type="dxa" w:w="194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Single-agent insufficiency</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FLT3-ITD sits on a founding NPM1/DNMT3A clone that FLT3 inhibition does not remove (27.8% of ITD+ cases are the triple genotype).</w:t>
            </w:r>
          </w:p>
        </w:tc>
        <w:tc>
          <w:tcPr>
            <w:tcW w:type="dxa" w:w="27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Plan the combination from the start; do not treat it as a salvage strategy after monotherapy disappoints.</w:t>
            </w:r>
          </w:p>
        </w:tc>
        <w:tc>
          <w:tcPr>
            <w:tcW w:type="dxa" w:w="29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Dose-matrix synergy against a named null model, then the achievable-exposure check in 32.1.</w:t>
            </w:r>
          </w:p>
        </w:tc>
      </w:tr>
      <w:tr>
        <w:tc>
          <w:tcPr>
            <w:tcW w:type="dxa" w:w="194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ITD lesion not properly characterised</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Standard short-read calls collapse ITD annotations - demonstrated in 29.2.</w:t>
            </w:r>
          </w:p>
        </w:tc>
        <w:tc>
          <w:tcPr>
            <w:tcW w:type="dxa" w:w="27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Specify ITD-aware assays for burden, length and insertion site in the protocol.</w:t>
            </w:r>
          </w:p>
        </w:tc>
        <w:tc>
          <w:tcPr>
            <w:tcW w:type="dxa" w:w="29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Orthogonal confirmation on a sample subset: fragment analysis against long-read or assembly-based sequencing.</w:t>
            </w:r>
          </w:p>
        </w:tc>
      </w:tr>
      <w:tr>
        <w:tc>
          <w:tcPr>
            <w:tcW w:type="dxa" w:w="194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Differentiation syndrome and QT liability</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Recognised class effects for FLT3 inhibitors.</w:t>
            </w:r>
          </w:p>
        </w:tc>
        <w:tc>
          <w:tcPr>
            <w:tcW w:type="dxa" w:w="27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hERG and QT assessment early in the cascade; protocol language distinguishing differentiation from progression.</w:t>
            </w:r>
          </w:p>
        </w:tc>
        <w:tc>
          <w:tcPr>
            <w:tcW w:type="dxa" w:w="29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hERG patch-clamp and in vivo QT telemetry before candidate selection; prospective adjudication criteria in the protocol.</w:t>
            </w:r>
          </w:p>
        </w:tc>
      </w:tr>
    </w:tbl>
    <w:p>
      <w:pPr>
        <w:spacing w:after="80"/>
      </w:pPr>
    </w:p>
    <w:p>
      <w:pPr>
        <w:spacing w:before="220" w:after="80"/>
        <w:pBdr>
          <w:left w:val="single" w:sz="18" w:space="8" w:color="00695C"/>
        </w:pBdr>
      </w:pPr>
      <w:r>
        <w:rPr>
          <w:rFonts w:ascii="Arial" w:hAnsi="Arial" w:eastAsia="Arial"/>
          <w:b/>
          <w:i w:val="0"/>
          <w:color w:val="00695C"/>
          <w:sz w:val="21"/>
        </w:rPr>
        <w:t xml:space="preserve">  34.1  What Would Make This Programme Succeed</w:t>
      </w:r>
    </w:p>
    <w:p>
      <w:pPr>
        <w:spacing w:after="100"/>
      </w:pPr>
      <w:r>
        <w:rPr>
          <w:rFonts w:ascii="Arial" w:hAnsi="Arial" w:eastAsia="Arial"/>
          <w:b w:val="0"/>
          <w:i w:val="0"/>
          <w:color w:val="212121"/>
          <w:sz w:val="19"/>
        </w:rPr>
        <w:t>Reduced to its essentials: pick a type I-like chemotype whose back-pocket occupancy is zero by the structural criterion in 30.1, so the activation loop is closed as an escape route from the outset; carry F691L in the primary panel rather than discovering it later; hold KIT selectivity as a gate rather than a footnote, because it is pure liability in this indication; report every potency as unbound-equivalent and confirm coverage by PIA before believing any resistance story; and design the combination against the founding clone from day one, because the co-mutation structure says monotherapy cannot remove it. The type I agents in the retrieved data already occupy better property space - mean ALogP 3.87 against 5.23 - which suggests the chemotype choice and the developability choice point the same way.</w:t>
      </w: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WHAT THIS VOLUME DOES NOT PROVIDE  </w:t>
            </w:r>
            <w:r>
              <w:rPr>
                <w:rFonts w:ascii="Arial" w:hAnsi="Arial" w:eastAsia="Arial"/>
                <w:b w:val="0"/>
                <w:i w:val="0"/>
                <w:color w:val="212121"/>
                <w:sz w:val="17"/>
              </w:rPr>
              <w:t>AMENDED - Sections I to XXXVI of this volume propose no novel chemical matter, and the earlier editions stated so without qualification. Section XXXVII, added later, DOES present generated structures. They are computational hypotheses that satisfy a structural criterion: unsynthesised, unassayed, not activity-guided and not assessed for synthesisability, and no specific compound is recommended. See 37.7 for the full statement of what they are and are not. The numeric thresholds are working criteria for triage, not regulatory requirements, and the potency values are medians over heterogeneous public assay conditions - they characterise class behaviour and must not be quoted as head-to-head comparisons. Every clinical statement is about published class behaviour, not about how any individual should be treated: dose selection, dose modification, supportive care and toxicity management are decisions for a qualified clinician with the full patient context.</w:t>
            </w:r>
          </w:p>
        </w:tc>
      </w:tr>
    </w:tbl>
    <w:p>
      <w:pPr>
        <w:spacing w:after="60"/>
      </w:pPr>
    </w:p>
    <w:p>
      <w:pPr>
        <w:shd w:val="clear" w:color="auto" w:fill="0D1B2A"/>
        <w:spacing w:before="280" w:after="160"/>
      </w:pPr>
      <w:r>
        <w:rPr>
          <w:rFonts w:ascii="Arial" w:hAnsi="Arial" w:eastAsia="Arial"/>
          <w:b/>
          <w:i w:val="0"/>
          <w:color w:val="FFFFFF"/>
          <w:sz w:val="23"/>
        </w:rPr>
        <w:t xml:space="preserve">  XXXV.   WHAT THE BACK POCKET IS WORTH: INTERFACE DECOMPOSITION</w:t>
      </w:r>
    </w:p>
    <w:p>
      <w:pPr>
        <w:spacing w:after="100"/>
      </w:pPr>
      <w:r>
        <w:rPr>
          <w:rFonts w:ascii="Arial" w:hAnsi="Arial" w:eastAsia="Arial"/>
          <w:b w:val="0"/>
          <w:i w:val="0"/>
          <w:color w:val="212121"/>
          <w:sz w:val="19"/>
        </w:rPr>
        <w:t>Section XXX established that back-pocket occupancy N_bp classifies the two binding modes and predicts which resistance mutations matter. That leaves the design question a programme actually has to answer: if you choose a chemotype with N_bp = 0, what do you give up? This section answers it by decomposing both interfaces, and the answer is more encouraging than the contact counts suggest.</w:t>
      </w:r>
    </w:p>
    <w:p>
      <w:pPr>
        <w:spacing w:before="220" w:after="80"/>
        <w:pBdr>
          <w:left w:val="single" w:sz="18" w:space="8" w:color="00695C"/>
        </w:pBdr>
      </w:pPr>
      <w:r>
        <w:rPr>
          <w:rFonts w:ascii="Arial" w:hAnsi="Arial" w:eastAsia="Arial"/>
          <w:b/>
          <w:i w:val="0"/>
          <w:color w:val="00695C"/>
          <w:sz w:val="21"/>
        </w:rPr>
        <w:t xml:space="preserve">  35.1  Method</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dSASA_i = SASA_i(protein alone) - SASA_i(protein + ligand)</w:t>
              <w:br/>
              <w:t xml:space="preserve">  both evaluated on the SAME coordinates, so the difference is</w:t>
              <w:br/>
              <w:t xml:space="preserve">  burial on complexation and not a conformational change</w:t>
            </w:r>
          </w:p>
          <w:p>
            <w:pPr>
              <w:spacing w:before="0" w:after="60"/>
            </w:pPr>
            <w:r>
              <w:rPr>
                <w:rFonts w:ascii="Arial" w:hAnsi="Arial" w:eastAsia="Arial"/>
                <w:b/>
                <w:i w:val="0"/>
                <w:color w:val="00695C"/>
                <w:sz w:val="16"/>
              </w:rPr>
              <w:t>Per-Residue Buried Surface</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Buried ligand fraction  phi = [SASA(ligand free) - SASA(ligand in complex)]</w:t>
              <w:br/>
              <w:t xml:space="preserve">                            / SASA(ligand free)</w:t>
            </w:r>
          </w:p>
          <w:p>
            <w:pPr>
              <w:spacing w:before="0" w:after="60"/>
            </w:pPr>
            <w:r>
              <w:rPr>
                <w:rFonts w:ascii="Arial" w:hAnsi="Arial" w:eastAsia="Arial"/>
                <w:b/>
                <w:i w:val="0"/>
                <w:color w:val="00695C"/>
                <w:sz w:val="16"/>
              </w:rPr>
              <w:t>Ligand Burial Fraction</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Burial efficiency  eta = |dG_app| / A_buried ,</w:t>
              <w:br/>
              <w:t xml:space="preserve">  with dG_app = -1.37 x pIC50   (kcal/mol, 298 K)</w:t>
            </w:r>
          </w:p>
          <w:p>
            <w:pPr>
              <w:spacing w:before="0" w:after="60"/>
            </w:pPr>
            <w:r>
              <w:rPr>
                <w:rFonts w:ascii="Arial" w:hAnsi="Arial" w:eastAsia="Arial"/>
                <w:b/>
                <w:i w:val="0"/>
                <w:color w:val="00695C"/>
                <w:sz w:val="16"/>
              </w:rPr>
              <w:t>Apparent Return per Unit Area</w:t>
            </w:r>
          </w:p>
        </w:tc>
      </w:tr>
    </w:tbl>
    <w:p>
      <w:pPr>
        <w:spacing w:after="40"/>
      </w:pPr>
    </w:p>
    <w:tbl>
      <w:tblPr>
        <w:tblW w:type="auto" w:w="0"/>
        <w:tblLook w:firstColumn="1" w:firstRow="1" w:lastColumn="0" w:lastRow="0" w:noHBand="0" w:noVBand="1" w:val="04A0"/>
      </w:tblPr>
      <w:tblGrid>
        <w:gridCol w:w="9972"/>
      </w:tblGrid>
      <w:tr>
        <w:tc>
          <w:tcPr>
            <w:tcW w:type="dxa" w:w="9504"/>
            <w:shd w:val="clear" w:color="auto" w:fill="FFF8E1"/>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8B6914"/>
                <w:sz w:val="17"/>
              </w:rPr>
              <w:t xml:space="preserve">WHAT eta IS AND IS NOT  </w:t>
            </w:r>
            <w:r>
              <w:rPr>
                <w:rFonts w:ascii="Arial" w:hAnsi="Arial" w:eastAsia="Arial"/>
                <w:b w:val="0"/>
                <w:i w:val="0"/>
                <w:color w:val="212121"/>
                <w:sz w:val="17"/>
              </w:rPr>
              <w:t>eta is an INDEX, not a thermodynamic measurement. Three reasons: the potency is a median over heterogeneous ChEMBL assays; converting an ATP-competitive IC50 to a binding free energy ignores the ATP concentration and the Ki/IC50 distinction; and buried area is a geometric proxy that credits polar and apolar surface equally. Use eta to compare chemotypes within this dataset, never as an absolute energy. A real answer needs ITC or alchemical free-energy calculation on a consistent assay basis.</w:t>
            </w:r>
          </w:p>
        </w:tc>
      </w:tr>
    </w:tbl>
    <w:p>
      <w:pPr>
        <w:spacing w:after="60"/>
      </w:pPr>
    </w:p>
    <w:p>
      <w:pPr>
        <w:spacing w:before="220" w:after="80"/>
        <w:pBdr>
          <w:left w:val="single" w:sz="18" w:space="8" w:color="00695C"/>
        </w:pBdr>
      </w:pPr>
      <w:r>
        <w:rPr>
          <w:rFonts w:ascii="Arial" w:hAnsi="Arial" w:eastAsia="Arial"/>
          <w:b/>
          <w:i w:val="0"/>
          <w:color w:val="00695C"/>
          <w:sz w:val="21"/>
        </w:rPr>
        <w:t xml:space="preserve">  35.2  Where the Surface Goes</w:t>
      </w:r>
    </w:p>
    <w:p>
      <w:pPr>
        <w:spacing w:after="100"/>
      </w:pPr>
      <w:r>
        <w:rPr>
          <w:rFonts w:ascii="Arial" w:hAnsi="Arial" w:eastAsia="Arial"/>
          <w:b w:val="0"/>
          <w:i w:val="0"/>
          <w:color w:val="212121"/>
          <w:sz w:val="19"/>
        </w:rPr>
        <w:t>Quizartinib and gilteritinib have the same heavy-atom count - 40 each - which makes the comparison unusually clean. They bury very different interfaces.</w:t>
      </w:r>
    </w:p>
    <w:p>
      <w:pPr>
        <w:spacing w:before="120" w:after="60"/>
        <w:jc w:val="center"/>
      </w:pPr>
      <w:r>
        <w:drawing>
          <wp:inline xmlns:a="http://schemas.openxmlformats.org/drawingml/2006/main" xmlns:pic="http://schemas.openxmlformats.org/drawingml/2006/picture">
            <wp:extent cx="5943600" cy="4486807"/>
            <wp:docPr id="3" name="Picture 3"/>
            <wp:cNvGraphicFramePr>
              <a:graphicFrameLocks noChangeAspect="1"/>
            </wp:cNvGraphicFramePr>
            <a:graphic>
              <a:graphicData uri="http://schemas.openxmlformats.org/drawingml/2006/picture">
                <pic:pic>
                  <pic:nvPicPr>
                    <pic:cNvPr id="0" name="Flt3_binding_mode_energetics.png"/>
                    <pic:cNvPicPr/>
                  </pic:nvPicPr>
                  <pic:blipFill>
                    <a:blip r:embed="rId11"/>
                    <a:stretch>
                      <a:fillRect/>
                    </a:stretch>
                  </pic:blipFill>
                  <pic:spPr>
                    <a:xfrm>
                      <a:off x="0" y="0"/>
                      <a:ext cx="5943600" cy="4486807"/>
                    </a:xfrm>
                    <a:prstGeom prst="rect"/>
                  </pic:spPr>
                </pic:pic>
              </a:graphicData>
            </a:graphic>
          </wp:inline>
        </w:drawing>
      </w:r>
    </w:p>
    <w:tbl>
      <w:tblPr>
        <w:tblW w:type="auto" w:w="0"/>
        <w:tblLook w:firstColumn="1" w:firstRow="1" w:lastColumn="0" w:lastRow="0" w:noHBand="0" w:noVBand="1" w:val="04A0"/>
      </w:tblPr>
      <w:tblGrid>
        <w:gridCol w:w="9972"/>
      </w:tblGrid>
      <w:tr>
        <w:tc>
          <w:tcPr>
            <w:tcW w:type="dxa" w:w="9504"/>
            <w:shd w:val="clear" w:color="auto" w:fill="F0F4F8"/>
            <w:tcBorders>
              <w:top w:val="single" w:sz="4" w:color="D6DEE7"/>
              <w:bottom w:val="single" w:sz="4" w:color="D6DEE7"/>
              <w:left w:val="single" w:sz="4" w:color="D6DEE7"/>
              <w:right w:val="single" w:sz="4" w:color="D6DEE7"/>
            </w:tcBorders>
          </w:tcPr>
          <w:p>
            <w:pPr>
              <w:spacing w:before="60" w:after="60"/>
            </w:pPr>
            <w:r>
              <w:rPr>
                <w:rFonts w:ascii="Arial" w:hAnsi="Arial" w:eastAsia="Arial"/>
                <w:b/>
                <w:i w:val="0"/>
                <w:color w:val="0D1B2A"/>
                <w:sz w:val="16"/>
              </w:rPr>
              <w:t xml:space="preserve">Figure.  </w:t>
            </w:r>
            <w:r>
              <w:rPr>
                <w:rFonts w:ascii="Arial" w:hAnsi="Arial" w:eastAsia="Arial"/>
                <w:b w:val="0"/>
                <w:i w:val="0"/>
                <w:color w:val="212121"/>
                <w:sz w:val="16"/>
              </w:rPr>
              <w:t>Interface decomposition of the FLT3 co-complexes, computed from the deposited coordinates by Shrake-Rupley solvent-accessible surface. (a) Buried protein surface by structural region, with the type I minus type II difference per region. (b) Total buried ligand surface and the apparent return per unit area. (c) Nearest ligand heavy atom to each resistance-relevant residue; residues 831-836 are not modelled in 6JQR.</w:t>
            </w:r>
          </w:p>
        </w:tc>
      </w:tr>
    </w:tbl>
    <w:p>
      <w:pPr>
        <w:spacing w:after="60"/>
      </w:pPr>
    </w:p>
    <w:tbl>
      <w:tblPr>
        <w:tblW w:type="auto" w:w="0"/>
        <w:jc w:val="left"/>
        <w:tblLayout w:type="fixed"/>
        <w:tblLook w:firstColumn="1" w:firstRow="1" w:lastColumn="0" w:lastRow="0" w:noHBand="0" w:noVBand="1" w:val="04A0"/>
      </w:tblPr>
      <w:tblGrid>
        <w:gridCol w:w="2493"/>
        <w:gridCol w:w="2493"/>
        <w:gridCol w:w="2493"/>
        <w:gridCol w:w="2493"/>
      </w:tblGrid>
      <w:tr>
        <w:tc>
          <w:tcPr>
            <w:tcW w:type="dxa" w:w="30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Region</w:t>
            </w:r>
          </w:p>
        </w:tc>
        <w:tc>
          <w:tcPr>
            <w:tcW w:type="dxa" w:w="230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quizartinib dSASA (A2)</w:t>
            </w:r>
          </w:p>
        </w:tc>
        <w:tc>
          <w:tcPr>
            <w:tcW w:type="dxa" w:w="230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gilteritinib dSASA (A2)</w:t>
            </w:r>
          </w:p>
        </w:tc>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Difference</w:t>
            </w:r>
          </w:p>
        </w:tc>
      </w:tr>
      <w:tr>
        <w:tc>
          <w:tcPr>
            <w:tcW w:type="dxa" w:w="30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alphaC + back pocket</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98.8</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9.7</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-89.1</w:t>
            </w:r>
          </w:p>
        </w:tc>
      </w:tr>
      <w:tr>
        <w:tc>
          <w:tcPr>
            <w:tcW w:type="dxa" w:w="30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gatekeeper F691</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15.7</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9.7</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-6.0</w:t>
            </w:r>
          </w:p>
        </w:tc>
      </w:tr>
      <w:tr>
        <w:tc>
          <w:tcPr>
            <w:tcW w:type="dxa" w:w="30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DFG + activation loop</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76.3</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42.9</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-33.4</w:t>
            </w:r>
          </w:p>
        </w:tc>
      </w:tr>
      <w:tr>
        <w:tc>
          <w:tcPr>
            <w:tcW w:type="dxa" w:w="30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catalytic / HRD</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49.5</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42.8</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-6.7</w:t>
            </w:r>
          </w:p>
        </w:tc>
      </w:tr>
      <w:tr>
        <w:tc>
          <w:tcPr>
            <w:tcW w:type="dxa" w:w="30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hinge / solvent front</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93.9</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115.3</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21.4</w:t>
            </w:r>
          </w:p>
        </w:tc>
      </w:tr>
      <w:tr>
        <w:tc>
          <w:tcPr>
            <w:tcW w:type="dxa" w:w="30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G-rich/P-loop</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68.4</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117.1</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48.7</w:t>
            </w:r>
          </w:p>
        </w:tc>
      </w:tr>
      <w:tr>
        <w:tc>
          <w:tcPr>
            <w:tcW w:type="dxa" w:w="30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beta2-3 / catalytic Lys</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27.8</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18.1</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-9.7</w:t>
            </w:r>
          </w:p>
        </w:tc>
      </w:tr>
    </w:tbl>
    <w:p>
      <w:pPr>
        <w:spacing w:after="80"/>
      </w:pPr>
    </w:p>
    <w:p>
      <w:pPr>
        <w:spacing w:after="100"/>
      </w:pPr>
      <w:r>
        <w:rPr>
          <w:rFonts w:ascii="Arial" w:hAnsi="Arial" w:eastAsia="Arial"/>
          <w:b w:val="0"/>
          <w:i w:val="0"/>
          <w:color w:val="212121"/>
          <w:sz w:val="19"/>
        </w:rPr>
        <w:t>The trade is explicit. Quizartinib buries 98.8 A2 of alphaC and back-pocket surface; gilteritinib buries 9.7 A2 - a difference of 89 A2 that the type I chemotype forgoes entirely. It recovers surface elsewhere: 49 A2 more in the glycine-rich P-loop and 21 A2 more across the hinge and solvent front. The DFG and activation-loop region also contributes 33 A2 less, which is consistent with that segment being partly disordered in the type I complex (35.4).</w:t>
      </w:r>
    </w:p>
    <w:p>
      <w:pPr>
        <w:spacing w:before="220" w:after="80"/>
        <w:pBdr>
          <w:left w:val="single" w:sz="18" w:space="8" w:color="00695C"/>
        </w:pBdr>
      </w:pPr>
      <w:r>
        <w:rPr>
          <w:rFonts w:ascii="Arial" w:hAnsi="Arial" w:eastAsia="Arial"/>
          <w:b/>
          <w:i w:val="0"/>
          <w:color w:val="00695C"/>
          <w:sz w:val="21"/>
        </w:rPr>
        <w:t xml:space="preserve">  35.3  The Cost of N_bp = 0</w:t>
      </w:r>
    </w:p>
    <w:tbl>
      <w:tblPr>
        <w:tblW w:type="auto" w:w="0"/>
        <w:jc w:val="left"/>
        <w:tblLayout w:type="fixed"/>
        <w:tblLook w:firstColumn="1" w:firstRow="1" w:lastColumn="0" w:lastRow="0" w:noHBand="0" w:noVBand="1" w:val="04A0"/>
      </w:tblPr>
      <w:tblGrid>
        <w:gridCol w:w="1108"/>
        <w:gridCol w:w="1108"/>
        <w:gridCol w:w="1108"/>
        <w:gridCol w:w="1108"/>
        <w:gridCol w:w="1108"/>
        <w:gridCol w:w="1108"/>
        <w:gridCol w:w="1108"/>
        <w:gridCol w:w="1108"/>
        <w:gridCol w:w="1108"/>
      </w:tblGrid>
      <w:tr>
        <w:tc>
          <w:tcPr>
            <w:tcW w:type="dxa" w:w="79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PDB</w:t>
            </w:r>
          </w:p>
        </w:tc>
        <w:tc>
          <w:tcPr>
            <w:tcW w:type="dxa" w:w="79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Ligand</w:t>
            </w:r>
          </w:p>
        </w:tc>
        <w:tc>
          <w:tcPr>
            <w:tcW w:type="dxa" w:w="1037"/>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Heavy atoms</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Free SASA (A2)</w:t>
            </w:r>
          </w:p>
        </w:tc>
        <w:tc>
          <w:tcPr>
            <w:tcW w:type="dxa" w:w="108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Buried (A2)</w:t>
            </w:r>
          </w:p>
        </w:tc>
        <w:tc>
          <w:tcPr>
            <w:tcW w:type="dxa" w:w="893"/>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Buried %</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Buried/atom (A2)</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Back-pocket (A2)</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Back-pocket share</w:t>
            </w:r>
          </w:p>
        </w:tc>
      </w:tr>
      <w:tr>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4XUF</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P30</w:t>
            </w:r>
          </w:p>
        </w:tc>
        <w:tc>
          <w:tcPr>
            <w:tcW w:type="dxa" w:w="1037"/>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40</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834.6</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673.1</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81%</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16.83</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95.2</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22.1%</w:t>
            </w:r>
          </w:p>
        </w:tc>
      </w:tr>
      <w:tr>
        <w:tc>
          <w:tcPr>
            <w:tcW w:type="dxa" w:w="7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6JQR</w:t>
            </w:r>
          </w:p>
        </w:tc>
        <w:tc>
          <w:tcPr>
            <w:tcW w:type="dxa" w:w="7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C6F</w:t>
            </w:r>
          </w:p>
        </w:tc>
        <w:tc>
          <w:tcPr>
            <w:tcW w:type="dxa" w:w="1037"/>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40</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802.0</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441.5</w:t>
            </w:r>
          </w:p>
        </w:tc>
        <w:tc>
          <w:tcPr>
            <w:tcW w:type="dxa" w:w="893"/>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55%</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11.04</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r>
      <w:tr>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5X02</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F6M</w:t>
            </w:r>
          </w:p>
        </w:tc>
        <w:tc>
          <w:tcPr>
            <w:tcW w:type="dxa" w:w="1037"/>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39</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891.9</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583.8</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65%</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14.97</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w:t>
            </w:r>
          </w:p>
        </w:tc>
      </w:tr>
    </w:tbl>
    <w:p>
      <w:pPr>
        <w:spacing w:after="80"/>
      </w:pPr>
    </w:p>
    <w:tbl>
      <w:tblPr>
        <w:tblW w:type="auto" w:w="0"/>
        <w:jc w:val="left"/>
        <w:tblLayout w:type="fixed"/>
        <w:tblLook w:firstColumn="1" w:firstRow="1" w:lastColumn="0" w:lastRow="0" w:noHBand="0" w:noVBand="1" w:val="04A0"/>
      </w:tblPr>
      <w:tblGrid>
        <w:gridCol w:w="1662"/>
        <w:gridCol w:w="1662"/>
        <w:gridCol w:w="1662"/>
        <w:gridCol w:w="1662"/>
        <w:gridCol w:w="1662"/>
        <w:gridCol w:w="1662"/>
      </w:tblGrid>
      <w:tr>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PDB</w:t>
            </w:r>
          </w:p>
        </w:tc>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Agent</w:t>
            </w:r>
          </w:p>
        </w:tc>
        <w:tc>
          <w:tcPr>
            <w:tcW w:type="dxa" w:w="13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pIC50 (ITD)</w:t>
            </w:r>
          </w:p>
        </w:tc>
        <w:tc>
          <w:tcPr>
            <w:tcW w:type="dxa" w:w="13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Buried (A2)</w:t>
            </w:r>
          </w:p>
        </w:tc>
        <w:tc>
          <w:tcPr>
            <w:tcW w:type="dxa" w:w="216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Apparent dG (kcal/mol)</w:t>
            </w:r>
          </w:p>
        </w:tc>
        <w:tc>
          <w:tcPr>
            <w:tcW w:type="dxa" w:w="201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kcal/mol per 100 A2</w:t>
            </w:r>
          </w:p>
        </w:tc>
      </w:tr>
      <w:tr>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4XUF</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8.55</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673.1</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-11.71</w:t>
            </w:r>
          </w:p>
        </w:tc>
        <w:tc>
          <w:tcPr>
            <w:tcW w:type="dxa" w:w="201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1.74</w:t>
            </w:r>
          </w:p>
        </w:tc>
      </w:tr>
      <w:tr>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6JQR</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8.74</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441.5</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-11.97</w:t>
            </w:r>
          </w:p>
        </w:tc>
        <w:tc>
          <w:tcPr>
            <w:tcW w:type="dxa" w:w="201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2.71</w:t>
            </w:r>
          </w:p>
        </w:tc>
      </w:tr>
      <w:tr>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5X02</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FF-10101</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583.8</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201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THE ANSWER  </w:t>
            </w:r>
            <w:r>
              <w:rPr>
                <w:rFonts w:ascii="Arial" w:hAnsi="Arial" w:eastAsia="Arial"/>
                <w:b w:val="0"/>
                <w:i w:val="0"/>
                <w:color w:val="212121"/>
                <w:sz w:val="17"/>
              </w:rPr>
              <w:t>Choosing N_bp = 0 costs 231 A2 of buried ligand surface - 673 A2 down to 442 A2, a 34% reduction, and the buried fraction falls from 81% to 55%. It costs nothing in potency: the median ITD potency of gilteritinib in this dataset is slightly BETTER than quizartinib's (pIC50 8.74 against 8.55). The type I chemotype therefore extracts 2.71 kcal/mol per 100 A2 buried against 1.74 for the type II - about 56% more apparent binding energy per unit of interface. Burying the back pocket is an expensive way to buy affinity.</w:t>
            </w:r>
          </w:p>
        </w:tc>
      </w:tr>
    </w:tbl>
    <w:p>
      <w:pPr>
        <w:spacing w:after="6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Design consequence: do NOT try to replace lost back-pocket burial with</w:t>
              <w:br/>
              <w:t xml:space="preserve">  added bulk. Recover affinity in the P-loop and hinge/solvent front,</w:t>
              <w:br/>
              <w:t xml:space="preserve">  where the observed return per unit area is higher.</w:t>
            </w:r>
          </w:p>
          <w:p>
            <w:pPr>
              <w:spacing w:before="0" w:after="60"/>
            </w:pPr>
            <w:r>
              <w:rPr>
                <w:rFonts w:ascii="Arial" w:hAnsi="Arial" w:eastAsia="Arial"/>
                <w:b/>
                <w:i w:val="0"/>
                <w:color w:val="00695C"/>
                <w:sz w:val="16"/>
              </w:rPr>
              <w:t>Where to Spend Surface</w:t>
            </w:r>
          </w:p>
        </w:tc>
      </w:tr>
    </w:tbl>
    <w:p>
      <w:pPr>
        <w:spacing w:after="40"/>
      </w:pPr>
    </w:p>
    <w:p>
      <w:pPr>
        <w:spacing w:after="100"/>
      </w:pPr>
      <w:r>
        <w:rPr>
          <w:rFonts w:ascii="Arial" w:hAnsi="Arial" w:eastAsia="Arial"/>
          <w:b w:val="0"/>
          <w:i w:val="0"/>
          <w:color w:val="212121"/>
          <w:sz w:val="19"/>
        </w:rPr>
        <w:t>This also reconciles the property data in Appendix B with the structural data. The type I agents in this set are markedly less lipophilic - mean ALogP 3.87 against 5.23 - and the interface decomposition shows why that is available to them: they do not need the large apolar extension that reaches the back pocket. Chemotype choice and developability point the same way, which is unusual and worth exploiting.</w:t>
      </w:r>
    </w:p>
    <w:p>
      <w:pPr>
        <w:spacing w:before="220" w:after="80"/>
        <w:pBdr>
          <w:left w:val="single" w:sz="18" w:space="8" w:color="00695C"/>
        </w:pBdr>
      </w:pPr>
      <w:r>
        <w:rPr>
          <w:rFonts w:ascii="Arial" w:hAnsi="Arial" w:eastAsia="Arial"/>
          <w:b/>
          <w:i w:val="0"/>
          <w:color w:val="00695C"/>
          <w:sz w:val="21"/>
        </w:rPr>
        <w:t xml:space="preserve">  35.4  Why Activation-Loop Resistance Is Conformational, Not Contact Loss</w:t>
      </w:r>
    </w:p>
    <w:p>
      <w:pPr>
        <w:spacing w:after="100"/>
      </w:pPr>
      <w:r>
        <w:rPr>
          <w:rFonts w:ascii="Arial" w:hAnsi="Arial" w:eastAsia="Arial"/>
          <w:b w:val="0"/>
          <w:i w:val="0"/>
          <w:color w:val="212121"/>
          <w:sz w:val="19"/>
        </w:rPr>
        <w:t>The single most useful structural result here is a negative one. D835 - the residue whose substitution costs quizartinib 49-fold potency - makes no contact with quizartinib at all.</w:t>
      </w:r>
    </w:p>
    <w:tbl>
      <w:tblPr>
        <w:tblW w:type="auto" w:w="0"/>
        <w:jc w:val="left"/>
        <w:tblLayout w:type="fixed"/>
        <w:tblLook w:firstColumn="1" w:firstRow="1" w:lastColumn="0" w:lastRow="0" w:noHBand="0" w:noVBand="1" w:val="04A0"/>
      </w:tblPr>
      <w:tblGrid>
        <w:gridCol w:w="2493"/>
        <w:gridCol w:w="2493"/>
        <w:gridCol w:w="2493"/>
        <w:gridCol w:w="2493"/>
      </w:tblGrid>
      <w:tr>
        <w:tc>
          <w:tcPr>
            <w:tcW w:type="dxa" w:w="273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Residue</w:t>
            </w:r>
          </w:p>
        </w:tc>
        <w:tc>
          <w:tcPr>
            <w:tcW w:type="dxa" w:w="230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quizartinib 4XUF (A)</w:t>
            </w:r>
          </w:p>
        </w:tc>
        <w:tc>
          <w:tcPr>
            <w:tcW w:type="dxa" w:w="230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gilteritinib 6JQR (A)</w:t>
            </w:r>
          </w:p>
        </w:tc>
        <w:tc>
          <w:tcPr>
            <w:tcW w:type="dxa" w:w="216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FF-10101 5X02 (A)</w:t>
            </w:r>
          </w:p>
        </w:tc>
      </w:tr>
      <w:tr>
        <w:tc>
          <w:tcPr>
            <w:tcW w:type="dxa" w:w="27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F691 gatekeeper</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4.1</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4.72</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3.49</w:t>
            </w:r>
          </w:p>
        </w:tc>
      </w:tr>
      <w:tr>
        <w:tc>
          <w:tcPr>
            <w:tcW w:type="dxa" w:w="27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D829 (DFG)</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2.9</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4.11</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3.27</w:t>
            </w:r>
          </w:p>
        </w:tc>
      </w:tr>
      <w:tr>
        <w:tc>
          <w:tcPr>
            <w:tcW w:type="dxa" w:w="27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F830 (DFG)</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3.71</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3.67</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3.71</w:t>
            </w:r>
          </w:p>
        </w:tc>
      </w:tr>
      <w:tr>
        <w:tc>
          <w:tcPr>
            <w:tcW w:type="dxa" w:w="27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A833</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4.43</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5.86</w:t>
            </w:r>
          </w:p>
        </w:tc>
      </w:tr>
      <w:tr>
        <w:tc>
          <w:tcPr>
            <w:tcW w:type="dxa" w:w="27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D835 activation loop</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10.79</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8.38</w:t>
            </w:r>
          </w:p>
        </w:tc>
      </w:tr>
      <w:tr>
        <w:tc>
          <w:tcPr>
            <w:tcW w:type="dxa" w:w="27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I836</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11.86</w:t>
            </w:r>
          </w:p>
        </w:tc>
        <w:tc>
          <w:tcPr>
            <w:tcW w:type="dxa" w:w="230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11.23</w:t>
            </w:r>
          </w:p>
        </w:tc>
      </w:tr>
      <w:tr>
        <w:tc>
          <w:tcPr>
            <w:tcW w:type="dxa" w:w="27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Y842</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11.18</w:t>
            </w:r>
          </w:p>
        </w:tc>
        <w:tc>
          <w:tcPr>
            <w:tcW w:type="dxa" w:w="230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9.51</w:t>
            </w:r>
          </w:p>
        </w:tc>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10.51</w:t>
            </w:r>
          </w:p>
        </w:tc>
      </w:tr>
    </w:tbl>
    <w:p>
      <w:pPr>
        <w:spacing w:after="80"/>
      </w:pPr>
    </w:p>
    <w:p>
      <w:pPr>
        <w:spacing w:after="100"/>
      </w:pPr>
      <w:r>
        <w:rPr>
          <w:rFonts w:ascii="Arial" w:hAnsi="Arial" w:eastAsia="Arial"/>
          <w:b w:val="0"/>
          <w:i w:val="0"/>
          <w:color w:val="212121"/>
          <w:sz w:val="19"/>
        </w:rPr>
        <w:t>Nearest approach of D835 to quizartinib is 10.79 A, and to FF-10101 8.38 A. In the gilteritinib complex the residue is not modelled at all. A substitution 10.8 A from the ligand cannot remove a binding interaction, so the 49-fold loss must act through the conformational state: type II binding requires the activation loop to adopt and hold the inactive arrangement, and activation-loop substitutions destabilise it. The mutation does not take away a contact; it takes away the conformation the contact set depends on.</w:t>
      </w:r>
    </w:p>
    <w:tbl>
      <w:tblPr>
        <w:tblW w:type="auto" w:w="0"/>
        <w:jc w:val="left"/>
        <w:tblLayout w:type="fixed"/>
        <w:tblLook w:firstColumn="1" w:firstRow="1" w:lastColumn="0" w:lastRow="0" w:noHBand="0" w:noVBand="1" w:val="04A0"/>
      </w:tblPr>
      <w:tblGrid>
        <w:gridCol w:w="2493"/>
        <w:gridCol w:w="2493"/>
        <w:gridCol w:w="2493"/>
        <w:gridCol w:w="2493"/>
      </w:tblGrid>
      <w:tr>
        <w:tc>
          <w:tcPr>
            <w:tcW w:type="dxa" w:w="259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Structure</w:t>
            </w:r>
          </w:p>
        </w:tc>
        <w:tc>
          <w:tcPr>
            <w:tcW w:type="dxa" w:w="144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Modelled span</w:t>
            </w:r>
          </w:p>
        </w:tc>
        <w:tc>
          <w:tcPr>
            <w:tcW w:type="dxa" w:w="33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Chain gaps</w:t>
            </w:r>
          </w:p>
        </w:tc>
        <w:tc>
          <w:tcPr>
            <w:tcW w:type="dxa" w:w="244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Activation-loop status</w:t>
            </w:r>
          </w:p>
        </w:tc>
      </w:tr>
      <w:tr>
        <w:tc>
          <w:tcPr>
            <w:tcW w:type="dxa" w:w="25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4XUF (quizartinib, type II)</w:t>
            </w:r>
          </w:p>
        </w:tc>
        <w:tc>
          <w:tcPr>
            <w:tcW w:type="dxa" w:w="144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600-947</w:t>
            </w:r>
          </w:p>
        </w:tc>
        <w:tc>
          <w:tcPr>
            <w:tcW w:type="dxa" w:w="33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649-651, 708-782</w:t>
            </w:r>
          </w:p>
        </w:tc>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none - 825-850 fully modelled</w:t>
            </w:r>
          </w:p>
        </w:tc>
      </w:tr>
      <w:tr>
        <w:tc>
          <w:tcPr>
            <w:tcW w:type="dxa" w:w="25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6JQR (gilteritinib, type I)</w:t>
            </w:r>
          </w:p>
        </w:tc>
        <w:tc>
          <w:tcPr>
            <w:tcW w:type="dxa" w:w="144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571-951</w:t>
            </w:r>
          </w:p>
        </w:tc>
        <w:tc>
          <w:tcPr>
            <w:tcW w:type="dxa" w:w="33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634-636, 649-650, 711-761, 763-780, 831-836</w:t>
            </w:r>
          </w:p>
        </w:tc>
        <w:tc>
          <w:tcPr>
            <w:tcW w:type="dxa" w:w="24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831-836 absent: includes D835 and I836</w:t>
            </w:r>
          </w:p>
        </w:tc>
      </w:tr>
      <w:tr>
        <w:tc>
          <w:tcPr>
            <w:tcW w:type="dxa" w:w="25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5X02 (FF-10101, covalent)</w:t>
            </w:r>
          </w:p>
        </w:tc>
        <w:tc>
          <w:tcPr>
            <w:tcW w:type="dxa" w:w="144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573-947</w:t>
            </w:r>
          </w:p>
        </w:tc>
        <w:tc>
          <w:tcPr>
            <w:tcW w:type="dxa" w:w="33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712-781</w:t>
            </w:r>
          </w:p>
        </w:tc>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none - 825-850 fully modelled</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THE CORROBORATING OBSERVATION  </w:t>
            </w:r>
            <w:r>
              <w:rPr>
                <w:rFonts w:ascii="Arial" w:hAnsi="Arial" w:eastAsia="Arial"/>
                <w:b w:val="0"/>
                <w:i w:val="0"/>
                <w:color w:val="212121"/>
                <w:sz w:val="17"/>
              </w:rPr>
              <w:t>Residues 831-836 - the segment containing D835 and I836, the two commonest activation-loop resistance positions - are absent from the gilteritinib model, while they are fully resolved in both the quizartinib and FF-10101 models. The type I complex does not require that segment to be ordered. That is exactly the asymmetry the fold-shift data show: an inhibitor indifferent to the conformation of a loop is indifferent to mutations in it. Stated carefully, absence of density reflects mobility or heterogeneity in that crystal form and is supporting evidence, not proof of a functional requirement.</w:t>
            </w:r>
          </w:p>
        </w:tc>
      </w:tr>
    </w:tbl>
    <w:p>
      <w:pPr>
        <w:spacing w:after="60"/>
      </w:pPr>
    </w:p>
    <w:p>
      <w:pPr>
        <w:spacing w:before="220" w:after="80"/>
        <w:pBdr>
          <w:left w:val="single" w:sz="18" w:space="8" w:color="00695C"/>
        </w:pBdr>
      </w:pPr>
      <w:r>
        <w:rPr>
          <w:rFonts w:ascii="Arial" w:hAnsi="Arial" w:eastAsia="Arial"/>
          <w:b/>
          <w:i w:val="0"/>
          <w:color w:val="00695C"/>
          <w:sz w:val="21"/>
        </w:rPr>
        <w:t xml:space="preserve">  35.5  A Correction to Section 30.1</w:t>
      </w: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THE GATEKEEPER CLAIM WAS CUT-OFF DEPENDENT  </w:t>
            </w:r>
            <w:r>
              <w:rPr>
                <w:rFonts w:ascii="Arial" w:hAnsi="Arial" w:eastAsia="Arial"/>
                <w:b w:val="0"/>
                <w:i w:val="0"/>
                <w:color w:val="212121"/>
                <w:sz w:val="17"/>
              </w:rPr>
              <w:t>Section 30.1 reports that gilteritinib does not contact F691. That is true at the 4.5 A heavy-atom cut-off used there, but the interface decomposition shows it is a threshold artefact: gilteritinib's nearest approach to F691 is 4.72 A and it buries 9.7 A2 of that residue, against 15.7 A2 for quizartinib. The correct statement is that gilteritinib engages the gatekeeper about 40% less extensively than quizartinib, not that it avoids it. This matters because it explains the residual 5.6-fold F691L fold-shift for gilteritinib in 30.3 - a compound with genuinely zero gatekeeper engagement should show none. Report burial, which is continuous, rather than a contact count, which is a step function at an arbitrary distance.</w:t>
            </w:r>
          </w:p>
        </w:tc>
      </w:tr>
    </w:tbl>
    <w:p>
      <w:pPr>
        <w:spacing w:after="60"/>
      </w:pPr>
    </w:p>
    <w:p>
      <w:pPr>
        <w:spacing w:before="220" w:after="80"/>
        <w:pBdr>
          <w:left w:val="single" w:sz="18" w:space="8" w:color="00695C"/>
        </w:pBdr>
      </w:pPr>
      <w:r>
        <w:rPr>
          <w:rFonts w:ascii="Arial" w:hAnsi="Arial" w:eastAsia="Arial"/>
          <w:b/>
          <w:i w:val="0"/>
          <w:color w:val="00695C"/>
          <w:sz w:val="21"/>
        </w:rPr>
        <w:t xml:space="preserve">  35.6  What to Compute Next</w:t>
      </w:r>
    </w:p>
    <w:p>
      <w:pPr>
        <w:spacing w:after="100"/>
      </w:pPr>
      <w:r>
        <w:rPr>
          <w:rFonts w:ascii="Arial" w:hAnsi="Arial" w:eastAsia="Arial"/>
          <w:b w:val="0"/>
          <w:i w:val="0"/>
          <w:color w:val="212121"/>
          <w:sz w:val="19"/>
        </w:rPr>
        <w:t>The decomposition above is geometric. Three calculations would convert it into the design-grade numbers a programme needs, in increasing order of cost: per-residue interaction energy decomposition with an explicit force field, to separate polar from apolar contributions that dSASA credits equally; alchemical free-energy perturbation for D835Y, D835H and F691L in both complexes, to predict fold-shift for a new chemotype before synthesis; and enhanced sampling of the activation loop in the apo and type I-bound states, to test the conformational argument in 35.4 directly rather than inferring it from missing density.</w:t>
      </w:r>
    </w:p>
    <w:p>
      <w:pPr>
        <w:shd w:val="clear" w:color="auto" w:fill="0D1B2A"/>
        <w:spacing w:before="280" w:after="160"/>
      </w:pPr>
      <w:r>
        <w:rPr>
          <w:rFonts w:ascii="Arial" w:hAnsi="Arial" w:eastAsia="Arial"/>
          <w:b/>
          <w:i w:val="0"/>
          <w:color w:val="FFFFFF"/>
          <w:sz w:val="23"/>
        </w:rPr>
        <w:t xml:space="preserve">  XXXVI.   FORCE-FIELD DECOMPOSITION: WHAT THE SURFACE ANALYSIS COULD NOT SEE</w:t>
      </w:r>
    </w:p>
    <w:p>
      <w:pPr>
        <w:spacing w:after="100"/>
      </w:pPr>
      <w:r>
        <w:rPr>
          <w:rFonts w:ascii="Arial" w:hAnsi="Arial" w:eastAsia="Arial"/>
          <w:b w:val="0"/>
          <w:i w:val="0"/>
          <w:color w:val="212121"/>
          <w:sz w:val="19"/>
        </w:rPr>
        <w:t>Section XXXV measured buried surface, which credits polar and apolar contact equally and cannot say whether a given region delivers energy in proportion to its area. This section answers that with a force field. It also returns a clear negative result: the central hypothesis of 35.3 is wrong, and what replaces it is more useful.</w:t>
      </w:r>
    </w:p>
    <w:p>
      <w:pPr>
        <w:spacing w:before="220" w:after="80"/>
        <w:pBdr>
          <w:left w:val="single" w:sz="18" w:space="8" w:color="00695C"/>
        </w:pBdr>
      </w:pPr>
      <w:r>
        <w:rPr>
          <w:rFonts w:ascii="Arial" w:hAnsi="Arial" w:eastAsia="Arial"/>
          <w:b/>
          <w:i w:val="0"/>
          <w:color w:val="00695C"/>
          <w:sz w:val="21"/>
        </w:rPr>
        <w:t xml:space="preserve">  36.1  Method, and What It Is Not</w:t>
      </w:r>
    </w:p>
    <w:p>
      <w:pPr>
        <w:spacing w:after="100"/>
      </w:pPr>
      <w:r>
        <w:rPr>
          <w:rFonts w:ascii="Arial" w:hAnsi="Arial" w:eastAsia="Arial"/>
          <w:b w:val="0"/>
          <w:i w:val="0"/>
          <w:color w:val="212121"/>
          <w:sz w:val="19"/>
        </w:rPr>
        <w:t>Ligands were rebuilt from the PDB chemical-component SMILES with crystal coordinates preserved by bond-order templating, then charged with AM1-BCC. Complexes were assembled with AMBER14SB for protein and GAFF2 for ligand in GBn2 implicit solvent, and relaxed under positional restraints on protein heavy atoms so that added hydrogens and completed side chains could settle without the fold moving.</w:t>
      </w:r>
    </w:p>
    <w:tbl>
      <w:tblPr>
        <w:tblW w:type="auto" w:w="0"/>
        <w:jc w:val="left"/>
        <w:tblLayout w:type="fixed"/>
        <w:tblLook w:firstColumn="1" w:firstRow="1" w:lastColumn="0" w:lastRow="0" w:noHBand="0" w:noVBand="1" w:val="04A0"/>
      </w:tblPr>
      <w:tblGrid>
        <w:gridCol w:w="1425"/>
        <w:gridCol w:w="1425"/>
        <w:gridCol w:w="1425"/>
        <w:gridCol w:w="1425"/>
        <w:gridCol w:w="1425"/>
        <w:gridCol w:w="1425"/>
        <w:gridCol w:w="1425"/>
      </w:tblGrid>
      <w:tr>
        <w:tc>
          <w:tcPr>
            <w:tcW w:type="dxa" w:w="893"/>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Ligand</w:t>
            </w:r>
          </w:p>
        </w:tc>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Agent</w:t>
            </w:r>
          </w:p>
        </w:tc>
        <w:tc>
          <w:tcPr>
            <w:tcW w:type="dxa" w:w="1123"/>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Heavy atoms</w:t>
            </w:r>
          </w:p>
        </w:tc>
        <w:tc>
          <w:tcPr>
            <w:tcW w:type="dxa" w:w="165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Formula built</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Matches CCD</w:t>
            </w:r>
          </w:p>
        </w:tc>
        <w:tc>
          <w:tcPr>
            <w:tcW w:type="dxa" w:w="194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Charge method</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Net charge (e)</w:t>
            </w:r>
          </w:p>
        </w:tc>
      </w:tr>
      <w:tr>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P30</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12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40</w:t>
            </w:r>
          </w:p>
        </w:tc>
        <w:tc>
          <w:tcPr>
            <w:tcW w:type="dxa" w:w="165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C29H32N6O4S</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True</w:t>
            </w:r>
          </w:p>
        </w:tc>
        <w:tc>
          <w:tcPr>
            <w:tcW w:type="dxa" w:w="194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AM1-BCC (AmberTools/sqm)</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+0.000</w:t>
            </w:r>
          </w:p>
        </w:tc>
      </w:tr>
      <w:tr>
        <w:tc>
          <w:tcPr>
            <w:tcW w:type="dxa" w:w="893"/>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C6F</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123"/>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40</w:t>
            </w:r>
          </w:p>
        </w:tc>
        <w:tc>
          <w:tcPr>
            <w:tcW w:type="dxa" w:w="165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C29H44N8O3</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True</w:t>
            </w:r>
          </w:p>
        </w:tc>
        <w:tc>
          <w:tcPr>
            <w:tcW w:type="dxa" w:w="194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AM1-BCC (AmberTools/sqm)</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-0.000</w:t>
            </w:r>
          </w:p>
        </w:tc>
      </w:tr>
      <w:tr>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F6M</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FF-10101</w:t>
            </w:r>
          </w:p>
        </w:tc>
        <w:tc>
          <w:tcPr>
            <w:tcW w:type="dxa" w:w="112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39</w:t>
            </w:r>
          </w:p>
        </w:tc>
        <w:tc>
          <w:tcPr>
            <w:tcW w:type="dxa" w:w="165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C29H38N8O2</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True</w:t>
            </w:r>
          </w:p>
        </w:tc>
        <w:tc>
          <w:tcPr>
            <w:tcW w:type="dxa" w:w="194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AM1-BCC (AmberTools/sqm)</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+0.000</w:t>
            </w:r>
          </w:p>
        </w:tc>
      </w:tr>
    </w:tbl>
    <w:p>
      <w:pPr>
        <w:spacing w:after="80"/>
      </w:pPr>
    </w:p>
    <w:tbl>
      <w:tblPr>
        <w:tblW w:type="auto" w:w="0"/>
        <w:jc w:val="left"/>
        <w:tblLayout w:type="fixed"/>
        <w:tblLook w:firstColumn="1" w:firstRow="1" w:lastColumn="0" w:lastRow="0" w:noHBand="0" w:noVBand="1" w:val="04A0"/>
      </w:tblPr>
      <w:tblGrid>
        <w:gridCol w:w="1425"/>
        <w:gridCol w:w="1425"/>
        <w:gridCol w:w="1425"/>
        <w:gridCol w:w="1425"/>
        <w:gridCol w:w="1425"/>
        <w:gridCol w:w="1425"/>
        <w:gridCol w:w="1425"/>
      </w:tblGrid>
      <w:tr>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PDB</w:t>
            </w:r>
          </w:p>
        </w:tc>
        <w:tc>
          <w:tcPr>
            <w:tcW w:type="dxa" w:w="108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Segments kept</w:t>
            </w:r>
          </w:p>
        </w:tc>
        <w:tc>
          <w:tcPr>
            <w:tcW w:type="dxa" w:w="223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Modelled spans</w:t>
            </w:r>
          </w:p>
        </w:tc>
        <w:tc>
          <w:tcPr>
            <w:tcW w:type="dxa" w:w="15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Side-chain atoms completed</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Protein RMSD (A)</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Ligand RMSD (A)</w:t>
            </w:r>
          </w:p>
        </w:tc>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Nearest artificial terminus (A)</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4XUF</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w:t>
            </w:r>
          </w:p>
        </w:tc>
        <w:tc>
          <w:tcPr>
            <w:tcW w:type="dxa" w:w="223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600-648, 652-707, 783-947</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0.146</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0.949</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13.87</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6JQR</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w:t>
            </w:r>
          </w:p>
        </w:tc>
        <w:tc>
          <w:tcPr>
            <w:tcW w:type="dxa" w:w="223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571-633, 637-648, 651-710, 762-762, 781-830, 837-951</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69</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0.149</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0.327</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9.44</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THREE PREPARATION CHOICES, ALL DELIBERATE  </w:t>
            </w:r>
            <w:r>
              <w:rPr>
                <w:rFonts w:ascii="Arial" w:hAnsi="Arial" w:eastAsia="Arial"/>
                <w:b w:val="0"/>
                <w:i w:val="0"/>
                <w:color w:val="212121"/>
                <w:sz w:val="17"/>
              </w:rPr>
              <w:t>First, absent loops were never modelled - 6JQR's 831-836 gap is left empty, because inserting invented coordinates for D835 into an analysis about D835 would be circular. Second, each contiguous segment became its own chain so the force field assigns proper termini instead of leaving dangling backbone; the nearest artificial terminus is 13.87 A from the ligand in 4XUF and 9.44 A in 6JQR, so none touches the interface. Third, restrained minimisation moved protein heavy atoms by only 0.15 A RMSD in both complexes, so the structures being scored are still the deposited ones.</w:t>
            </w:r>
          </w:p>
        </w:tc>
      </w:tr>
    </w:tbl>
    <w:p>
      <w:pPr>
        <w:spacing w:after="6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E_vdw   = SUM 4 eps_ij [ (sig_ij/r)^12 - (sig_ij/r)^6 ]</w:t>
              <w:br/>
              <w:t>E_coul  = SUM C q_i q_j / (eps r_ij)</w:t>
            </w:r>
          </w:p>
          <w:p>
            <w:pPr>
              <w:spacing w:before="0" w:after="60"/>
            </w:pPr>
            <w:r>
              <w:rPr>
                <w:rFonts w:ascii="Arial" w:hAnsi="Arial" w:eastAsia="Arial"/>
                <w:b/>
                <w:i w:val="0"/>
                <w:color w:val="00695C"/>
                <w:sz w:val="16"/>
              </w:rPr>
              <w:t>Per-Residue Interaction Energy</w:t>
            </w:r>
          </w:p>
        </w:tc>
      </w:tr>
    </w:tbl>
    <w:p>
      <w:pPr>
        <w:spacing w:after="40"/>
      </w:pP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Reported at two dielectric bounds:</w:t>
              <w:br/>
              <w:t xml:space="preserve">  eps = 1     unscreened gas-phase Coulomb, an UPPER bound on the polar term</w:t>
              <w:br/>
              <w:t xml:space="preserve">  eps = 4r    r in Angstrom; the conventional cheap screening model</w:t>
            </w:r>
          </w:p>
          <w:p>
            <w:pPr>
              <w:spacing w:before="0" w:after="60"/>
            </w:pPr>
            <w:r>
              <w:rPr>
                <w:rFonts w:ascii="Arial" w:hAnsi="Arial" w:eastAsia="Arial"/>
                <w:b/>
                <w:i w:val="0"/>
                <w:color w:val="00695C"/>
                <w:sz w:val="16"/>
              </w:rPr>
              <w:t>Dielectric Bounds</w:t>
            </w:r>
          </w:p>
        </w:tc>
      </w:tr>
    </w:tbl>
    <w:p>
      <w:pPr>
        <w:spacing w:after="40"/>
      </w:pP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A UNITS ERROR WORTH RECORDING  </w:t>
            </w:r>
            <w:r>
              <w:rPr>
                <w:rFonts w:ascii="Arial" w:hAnsi="Arial" w:eastAsia="Arial"/>
                <w:b w:val="0"/>
                <w:i w:val="0"/>
                <w:color w:val="212121"/>
                <w:sz w:val="17"/>
              </w:rPr>
              <w:t>The eps(r) = 4r model is defined with r in Angstrom. Coded with r in nanometres it yields eps &lt; 1 at contact distance and AMPLIFIES the Coulomb term instead of screening it - the first run returned a 'screened' total of -64.5 kcal/mol against an unscreened -22.1, which is impossible. The diagnostic is simple and worth building into any such calculation: screening can only ever reduce the magnitude of a pair term, so if the screened total exceeds the unscreened one, the units are wrong. After correction, monotonicity holds for every one of the atom pairs checked.</w:t>
            </w:r>
          </w:p>
        </w:tc>
      </w:tr>
    </w:tbl>
    <w:p>
      <w:pPr>
        <w:spacing w:after="60"/>
      </w:pPr>
    </w:p>
    <w:tbl>
      <w:tblPr>
        <w:tblW w:type="auto" w:w="0"/>
        <w:tblLook w:firstColumn="1" w:firstRow="1" w:lastColumn="0" w:lastRow="0" w:noHBand="0" w:noVBand="1" w:val="04A0"/>
      </w:tblPr>
      <w:tblGrid>
        <w:gridCol w:w="9972"/>
      </w:tblGrid>
      <w:tr>
        <w:tc>
          <w:tcPr>
            <w:tcW w:type="dxa" w:w="9504"/>
            <w:shd w:val="clear" w:color="auto" w:fill="FFF8E1"/>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8B6914"/>
                <w:sz w:val="17"/>
              </w:rPr>
              <w:t xml:space="preserve">WHAT THESE NUMBERS ARE NOT  </w:t>
            </w:r>
            <w:r>
              <w:rPr>
                <w:rFonts w:ascii="Arial" w:hAnsi="Arial" w:eastAsia="Arial"/>
                <w:b w:val="0"/>
                <w:i w:val="0"/>
                <w:color w:val="212121"/>
                <w:sz w:val="17"/>
              </w:rPr>
              <w:t>These are interaction energies, not binding free energies. Desolvation, configurational entropy and protein reorganisation are all absent, and the calculation is a single relaxed structure rather than an ensemble. They are therefore valid for comparing WHERE energy comes from within and between these two complexes, and invalid as predictions of affinity.</w:t>
            </w:r>
          </w:p>
        </w:tc>
      </w:tr>
    </w:tbl>
    <w:p>
      <w:pPr>
        <w:spacing w:after="60"/>
      </w:pPr>
    </w:p>
    <w:p>
      <w:pPr>
        <w:spacing w:before="220" w:after="80"/>
        <w:pBdr>
          <w:left w:val="single" w:sz="18" w:space="8" w:color="00695C"/>
        </w:pBdr>
      </w:pPr>
      <w:r>
        <w:rPr>
          <w:rFonts w:ascii="Arial" w:hAnsi="Arial" w:eastAsia="Arial"/>
          <w:b/>
          <w:i w:val="0"/>
          <w:color w:val="00695C"/>
          <w:sz w:val="21"/>
        </w:rPr>
        <w:t xml:space="preserve">  36.2  The Interface Is Almost Entirely Apolar</w:t>
      </w:r>
    </w:p>
    <w:tbl>
      <w:tblPr>
        <w:tblW w:type="auto" w:w="0"/>
        <w:jc w:val="left"/>
        <w:tblLayout w:type="fixed"/>
        <w:tblLook w:firstColumn="1" w:firstRow="1" w:lastColumn="0" w:lastRow="0" w:noHBand="0" w:noVBand="1" w:val="04A0"/>
      </w:tblPr>
      <w:tblGrid>
        <w:gridCol w:w="1662"/>
        <w:gridCol w:w="1662"/>
        <w:gridCol w:w="1662"/>
        <w:gridCol w:w="1662"/>
        <w:gridCol w:w="1662"/>
        <w:gridCol w:w="1662"/>
      </w:tblGrid>
      <w:tr>
        <w:tc>
          <w:tcPr>
            <w:tcW w:type="dxa" w:w="165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Agent</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E_vdw</w:t>
            </w:r>
          </w:p>
        </w:tc>
        <w:tc>
          <w:tcPr>
            <w:tcW w:type="dxa" w:w="165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E_coul (eps=1)</w:t>
            </w:r>
          </w:p>
        </w:tc>
        <w:tc>
          <w:tcPr>
            <w:tcW w:type="dxa" w:w="172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E_coul (eps=4r)</w:t>
            </w:r>
          </w:p>
        </w:tc>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Total (eps=4r)</w:t>
            </w:r>
          </w:p>
        </w:tc>
        <w:tc>
          <w:tcPr>
            <w:tcW w:type="dxa" w:w="15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Apolar fraction</w:t>
            </w:r>
          </w:p>
        </w:tc>
      </w:tr>
      <w:tr>
        <w:tc>
          <w:tcPr>
            <w:tcW w:type="dxa" w:w="165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-70.73</w:t>
            </w:r>
          </w:p>
        </w:tc>
        <w:tc>
          <w:tcPr>
            <w:tcW w:type="dxa" w:w="165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-22.11</w:t>
            </w:r>
          </w:p>
        </w:tc>
        <w:tc>
          <w:tcPr>
            <w:tcW w:type="dxa" w:w="172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-6.45</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-77.18</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0.916</w:t>
            </w:r>
          </w:p>
        </w:tc>
      </w:tr>
      <w:tr>
        <w:tc>
          <w:tcPr>
            <w:tcW w:type="dxa" w:w="165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-48.89</w:t>
            </w:r>
          </w:p>
        </w:tc>
        <w:tc>
          <w:tcPr>
            <w:tcW w:type="dxa" w:w="165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-29.07</w:t>
            </w:r>
          </w:p>
        </w:tc>
        <w:tc>
          <w:tcPr>
            <w:tcW w:type="dxa" w:w="172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-6.4</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-55.29</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0.884</w:t>
            </w:r>
          </w:p>
        </w:tc>
      </w:tr>
    </w:tbl>
    <w:p>
      <w:pPr>
        <w:spacing w:after="80"/>
      </w:pPr>
    </w:p>
    <w:p>
      <w:pPr>
        <w:spacing w:after="100"/>
      </w:pPr>
      <w:r>
        <w:rPr>
          <w:rFonts w:ascii="Arial" w:hAnsi="Arial" w:eastAsia="Arial"/>
          <w:b w:val="0"/>
          <w:i w:val="0"/>
          <w:color w:val="212121"/>
          <w:sz w:val="19"/>
        </w:rPr>
        <w:t>Van der Waals dominates both interfaces - 92% of the favourable energy for quizartinib and 88% for gilteritinib. The screened Coulomb terms are, strikingly, almost identical (-6.45 against -6.40 kcal/mol) despite very different chemotypes. So the surface analysis in XXXV was not misled by treating polar and apolar contact alike: at this interface there is very little polar contribution to mistreat. The corollary matters for design - a larger interface here is a larger APOLAR interface, and apolar burial carries a desolvation cost that scales with it.</w:t>
      </w:r>
    </w:p>
    <w:tbl>
      <w:tblPr>
        <w:tblW w:type="auto" w:w="0"/>
        <w:jc w:val="left"/>
        <w:tblLayout w:type="fixed"/>
        <w:tblLook w:firstColumn="1" w:firstRow="1" w:lastColumn="0" w:lastRow="0" w:noHBand="0" w:noVBand="1" w:val="04A0"/>
      </w:tblPr>
      <w:tblGrid>
        <w:gridCol w:w="1425"/>
        <w:gridCol w:w="1425"/>
        <w:gridCol w:w="1425"/>
        <w:gridCol w:w="1425"/>
        <w:gridCol w:w="1425"/>
        <w:gridCol w:w="1425"/>
        <w:gridCol w:w="1425"/>
      </w:tblGrid>
      <w:tr>
        <w:tc>
          <w:tcPr>
            <w:tcW w:type="dxa" w:w="15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Agent</w:t>
            </w:r>
          </w:p>
        </w:tc>
        <w:tc>
          <w:tcPr>
            <w:tcW w:type="dxa" w:w="13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1st</w:t>
            </w:r>
          </w:p>
        </w:tc>
        <w:tc>
          <w:tcPr>
            <w:tcW w:type="dxa" w:w="13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2nd</w:t>
            </w:r>
          </w:p>
        </w:tc>
        <w:tc>
          <w:tcPr>
            <w:tcW w:type="dxa" w:w="13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3rd</w:t>
            </w:r>
          </w:p>
        </w:tc>
        <w:tc>
          <w:tcPr>
            <w:tcW w:type="dxa" w:w="13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4th</w:t>
            </w:r>
          </w:p>
        </w:tc>
        <w:tc>
          <w:tcPr>
            <w:tcW w:type="dxa" w:w="13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5th</w:t>
            </w:r>
          </w:p>
        </w:tc>
        <w:tc>
          <w:tcPr>
            <w:tcW w:type="dxa" w:w="13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6th</w:t>
            </w:r>
          </w:p>
        </w:tc>
      </w:tr>
      <w:tr>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ASP829 (-6.0)</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LEU616 (-5.7)</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GLU661 (-5.5)</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CYS828 (-4.6)</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LEU818 (-4.2)</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PHE830 (-3.7)</w:t>
            </w:r>
          </w:p>
        </w:tc>
      </w:tr>
      <w:tr>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LEU616 (-8.6)</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TYR693 (-4.9)</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GLY697 (-4.1)</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LEU818 (-3.9)</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PHE830 (-3.7)</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CYS694 (-3.3)</w:t>
            </w:r>
          </w:p>
        </w:tc>
      </w:tr>
    </w:tbl>
    <w:p>
      <w:pPr>
        <w:spacing w:after="80"/>
      </w:pPr>
    </w:p>
    <w:p>
      <w:pPr>
        <w:spacing w:after="100"/>
      </w:pPr>
      <w:r>
        <w:rPr>
          <w:rFonts w:ascii="Arial" w:hAnsi="Arial" w:eastAsia="Arial"/>
          <w:b w:val="0"/>
          <w:i w:val="0"/>
          <w:color w:val="212121"/>
          <w:sz w:val="19"/>
        </w:rPr>
        <w:t>The top contributors reproduce the regional split from XXXV independently. Quizartinib's list is led by D829 and F830 of the DFG motif, the alphaC glutamate E661 and C828 - the back pocket and activation-segment machinery. Gilteritinib's is led by L616 in the P-loop and Y693/G697 at the hinge and solvent front. Two different chemotypes, two different halves of the site.</w:t>
      </w:r>
    </w:p>
    <w:p>
      <w:pPr>
        <w:spacing w:before="220" w:after="80"/>
        <w:pBdr>
          <w:left w:val="single" w:sz="18" w:space="8" w:color="00695C"/>
        </w:pBdr>
      </w:pPr>
      <w:r>
        <w:rPr>
          <w:rFonts w:ascii="Arial" w:hAnsi="Arial" w:eastAsia="Arial"/>
          <w:b/>
          <w:i w:val="0"/>
          <w:color w:val="00695C"/>
          <w:sz w:val="21"/>
        </w:rPr>
        <w:t xml:space="preserve">  36.3  Energy Density Is Flat - the 35.3 Hypothesis Refuted</w:t>
      </w:r>
    </w:p>
    <w:p>
      <w:pPr>
        <w:spacing w:after="100"/>
      </w:pPr>
      <w:r>
        <w:rPr>
          <w:rFonts w:ascii="Arial" w:hAnsi="Arial" w:eastAsia="Arial"/>
          <w:b w:val="0"/>
          <w:i w:val="0"/>
          <w:color w:val="212121"/>
          <w:sz w:val="19"/>
        </w:rPr>
        <w:t>Section 35.3 inferred that gilteritinib's P-loop and hinge surface must be of higher energetic quality than quizartinib's back-pocket surface, since gilteritinib achieved equal potency from 34% less burial. The force field does not support that.</w:t>
      </w:r>
    </w:p>
    <w:p>
      <w:pPr>
        <w:spacing w:before="120" w:after="60"/>
        <w:jc w:val="center"/>
      </w:pPr>
      <w:r>
        <w:drawing>
          <wp:inline xmlns:a="http://schemas.openxmlformats.org/drawingml/2006/main" xmlns:pic="http://schemas.openxmlformats.org/drawingml/2006/picture">
            <wp:extent cx="5943600" cy="4623116"/>
            <wp:docPr id="4" name="Picture 4"/>
            <wp:cNvGraphicFramePr>
              <a:graphicFrameLocks noChangeAspect="1"/>
            </wp:cNvGraphicFramePr>
            <a:graphic>
              <a:graphicData uri="http://schemas.openxmlformats.org/drawingml/2006/picture">
                <pic:pic>
                  <pic:nvPicPr>
                    <pic:cNvPr id="0" name="Flt3_energy_decomposition.png"/>
                    <pic:cNvPicPr/>
                  </pic:nvPicPr>
                  <pic:blipFill>
                    <a:blip r:embed="rId12"/>
                    <a:stretch>
                      <a:fillRect/>
                    </a:stretch>
                  </pic:blipFill>
                  <pic:spPr>
                    <a:xfrm>
                      <a:off x="0" y="0"/>
                      <a:ext cx="5943600" cy="4623116"/>
                    </a:xfrm>
                    <a:prstGeom prst="rect"/>
                  </pic:spPr>
                </pic:pic>
              </a:graphicData>
            </a:graphic>
          </wp:inline>
        </w:drawing>
      </w:r>
    </w:p>
    <w:tbl>
      <w:tblPr>
        <w:tblW w:type="auto" w:w="0"/>
        <w:tblLook w:firstColumn="1" w:firstRow="1" w:lastColumn="0" w:lastRow="0" w:noHBand="0" w:noVBand="1" w:val="04A0"/>
      </w:tblPr>
      <w:tblGrid>
        <w:gridCol w:w="9972"/>
      </w:tblGrid>
      <w:tr>
        <w:tc>
          <w:tcPr>
            <w:tcW w:type="dxa" w:w="9504"/>
            <w:shd w:val="clear" w:color="auto" w:fill="F0F4F8"/>
            <w:tcBorders>
              <w:top w:val="single" w:sz="4" w:color="D6DEE7"/>
              <w:bottom w:val="single" w:sz="4" w:color="D6DEE7"/>
              <w:left w:val="single" w:sz="4" w:color="D6DEE7"/>
              <w:right w:val="single" w:sz="4" w:color="D6DEE7"/>
            </w:tcBorders>
          </w:tcPr>
          <w:p>
            <w:pPr>
              <w:spacing w:before="60" w:after="60"/>
            </w:pPr>
            <w:r>
              <w:rPr>
                <w:rFonts w:ascii="Arial" w:hAnsi="Arial" w:eastAsia="Arial"/>
                <w:b/>
                <w:i w:val="0"/>
                <w:color w:val="0D1B2A"/>
                <w:sz w:val="16"/>
              </w:rPr>
              <w:t xml:space="preserve">Figure.  </w:t>
            </w:r>
            <w:r>
              <w:rPr>
                <w:rFonts w:ascii="Arial" w:hAnsi="Arial" w:eastAsia="Arial"/>
                <w:b w:val="0"/>
                <w:i w:val="0"/>
                <w:color w:val="212121"/>
                <w:sz w:val="16"/>
              </w:rPr>
              <w:t>Force-field decomposition of the two FLT3 complexes. (a) Interaction energy by region, split into van der Waals and screened Coulomb. (b) Energy density against buried surface per region; the ringed points are the alphaC/back-pocket region for each complex. (c) Computed local F691L penalty against the penalty implied by the measured fold-shift.</w:t>
            </w:r>
          </w:p>
        </w:tc>
      </w:tr>
    </w:tbl>
    <w:p>
      <w:pPr>
        <w:spacing w:after="60"/>
      </w:pPr>
    </w:p>
    <w:tbl>
      <w:tblPr>
        <w:tblW w:type="auto" w:w="0"/>
        <w:jc w:val="left"/>
        <w:tblLayout w:type="fixed"/>
        <w:tblLook w:firstColumn="1" w:firstRow="1" w:lastColumn="0" w:lastRow="0" w:noHBand="0" w:noVBand="1" w:val="04A0"/>
      </w:tblPr>
      <w:tblGrid>
        <w:gridCol w:w="1246"/>
        <w:gridCol w:w="1246"/>
        <w:gridCol w:w="1246"/>
        <w:gridCol w:w="1246"/>
        <w:gridCol w:w="1246"/>
        <w:gridCol w:w="1246"/>
        <w:gridCol w:w="1246"/>
        <w:gridCol w:w="1246"/>
      </w:tblGrid>
      <w:tr>
        <w:tc>
          <w:tcPr>
            <w:tcW w:type="dxa" w:w="223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Region</w:t>
            </w:r>
          </w:p>
        </w:tc>
        <w:tc>
          <w:tcPr>
            <w:tcW w:type="dxa" w:w="15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Agent</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dSASA (A2)</w:t>
            </w:r>
          </w:p>
        </w:tc>
        <w:tc>
          <w:tcPr>
            <w:tcW w:type="dxa" w:w="93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E_vdw</w:t>
            </w:r>
          </w:p>
        </w:tc>
        <w:tc>
          <w:tcPr>
            <w:tcW w:type="dxa" w:w="93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E_coul</w:t>
            </w:r>
          </w:p>
        </w:tc>
        <w:tc>
          <w:tcPr>
            <w:tcW w:type="dxa" w:w="100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E_total</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kcal/100 A2</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Apolar frac.</w:t>
            </w:r>
          </w:p>
        </w:tc>
      </w:tr>
      <w:tr>
        <w:tc>
          <w:tcPr>
            <w:tcW w:type="dxa" w:w="223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G-rich/P-loop</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68.4</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-10.16</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0.07</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-10.09</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14.75</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0.993</w:t>
            </w:r>
          </w:p>
        </w:tc>
      </w:tr>
      <w:tr>
        <w:tc>
          <w:tcPr>
            <w:tcW w:type="dxa" w:w="223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beta2-3 / catalytic Lys</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27.8</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-4.83</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1.35</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-3.48</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12.54</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0.782</w:t>
            </w:r>
          </w:p>
        </w:tc>
      </w:tr>
      <w:tr>
        <w:tc>
          <w:tcPr>
            <w:tcW w:type="dxa" w:w="223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alphaC + back pocket</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98.8</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-12.07</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-4.8</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-16.87</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17.07</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0.716</w:t>
            </w:r>
          </w:p>
        </w:tc>
      </w:tr>
      <w:tr>
        <w:tc>
          <w:tcPr>
            <w:tcW w:type="dxa" w:w="223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gatekeeper F691</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15.7</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-3.35</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-0.09</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-3.44</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21.91</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0.974</w:t>
            </w:r>
          </w:p>
        </w:tc>
      </w:tr>
      <w:tr>
        <w:tc>
          <w:tcPr>
            <w:tcW w:type="dxa" w:w="223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hinge / solvent front</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93.9</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-13.67</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-0.75</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-14.43</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15.36</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0.948</w:t>
            </w:r>
          </w:p>
        </w:tc>
      </w:tr>
      <w:tr>
        <w:tc>
          <w:tcPr>
            <w:tcW w:type="dxa" w:w="223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catalytic / HRD</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49.5</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-9.76</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-0.15</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-9.91</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20.02</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0.985</w:t>
            </w:r>
          </w:p>
        </w:tc>
      </w:tr>
      <w:tr>
        <w:tc>
          <w:tcPr>
            <w:tcW w:type="dxa" w:w="223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DFG + activation loop</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76.3</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-15.65</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-1.97</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-17.63</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23.1</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0.888</w:t>
            </w:r>
          </w:p>
        </w:tc>
      </w:tr>
      <w:tr>
        <w:tc>
          <w:tcPr>
            <w:tcW w:type="dxa" w:w="223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G-rich/P-loop</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117.1</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-14.39</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-0.31</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-14.7</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12.55</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0.979</w:t>
            </w:r>
          </w:p>
        </w:tc>
      </w:tr>
      <w:tr>
        <w:tc>
          <w:tcPr>
            <w:tcW w:type="dxa" w:w="223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beta2-3 / catalytic Lys</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18.1</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-3.35</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-3.25</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17.94</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0.971</w:t>
            </w:r>
          </w:p>
        </w:tc>
      </w:tr>
      <w:tr>
        <w:tc>
          <w:tcPr>
            <w:tcW w:type="dxa" w:w="223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alphaC + back pocket</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9.7</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-1.62</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-0.05</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-1.67</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17.29</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0.972</w:t>
            </w:r>
          </w:p>
        </w:tc>
      </w:tr>
      <w:tr>
        <w:tc>
          <w:tcPr>
            <w:tcW w:type="dxa" w:w="223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gatekeeper F691</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9.7</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0.05</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-0.84</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8.75</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0.943</w:t>
            </w:r>
          </w:p>
        </w:tc>
      </w:tr>
      <w:tr>
        <w:tc>
          <w:tcPr>
            <w:tcW w:type="dxa" w:w="223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hinge / solvent front</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115.3</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-16.47</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-4.44</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-20.91</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18.14</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0.788</w:t>
            </w:r>
          </w:p>
        </w:tc>
      </w:tr>
      <w:tr>
        <w:tc>
          <w:tcPr>
            <w:tcW w:type="dxa" w:w="223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catalytic / HRD</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42.8</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-5.8</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-0.07</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-5.87</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13.72</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0.987</w:t>
            </w:r>
          </w:p>
        </w:tc>
      </w:tr>
      <w:tr>
        <w:tc>
          <w:tcPr>
            <w:tcW w:type="dxa" w:w="223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DFG + activation loop</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42.9</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-4.51</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-1.61</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-6.13</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14.27</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0.737</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THE RESULT  </w:t>
            </w:r>
            <w:r>
              <w:rPr>
                <w:rFonts w:ascii="Arial" w:hAnsi="Arial" w:eastAsia="Arial"/>
                <w:b w:val="0"/>
                <w:i w:val="0"/>
                <w:color w:val="212121"/>
                <w:sz w:val="17"/>
              </w:rPr>
              <w:t>Energy density is close to uniform - a median of 16.2 kcal/mol per 100 A2 across regions and across both drugs. The back pocket returns 17.07 for quizartinib and 17.29 for gilteritinib; the P-loop plus front returns 15.10 and 15.33. Buried surface buys essentially the same interaction energy wherever it sits, and the back pocket is not energetically inferior per unit area. The 56% efficiency advantage in 35.3 is therefore NOT explained by contact quality.</w:t>
            </w:r>
          </w:p>
        </w:tc>
      </w:tr>
    </w:tbl>
    <w:p>
      <w:pPr>
        <w:spacing w:after="60"/>
      </w:pPr>
    </w:p>
    <w:p>
      <w:pPr>
        <w:spacing w:after="100"/>
      </w:pPr>
      <w:r>
        <w:rPr>
          <w:rFonts w:ascii="Arial" w:hAnsi="Arial" w:eastAsia="Arial"/>
          <w:b w:val="0"/>
          <w:i w:val="0"/>
          <w:color w:val="212121"/>
          <w:sz w:val="19"/>
        </w:rPr>
        <w:t>That leaves a sharper conclusion. Quizartinib extracts MORE total interaction energy than gilteritinib - -77.18 against -55.29 kcal/mol, a surplus of about 22 kcal/mol - while being no more potent. A surplus of favourable interaction energy that does not appear as affinity must be repaid in terms this calculation cannot see, and there are only two serious candidates: desolvation of a much larger apolar surface, and the free-energy cost of requiring the protein to occupy the DFG-out, activation-loop-ordered state that type II binding demands.</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Both candidate costs scale with the SAME structural feature that Section XXX</w:t>
              <w:br/>
              <w:t>identified as the type II resistance liability: dependence on an ordered</w:t>
              <w:br/>
              <w:t>back pocket. The affinity penalty and the resistance liability are the</w:t>
              <w:br/>
              <w:t>same bill, presented twice.</w:t>
            </w:r>
          </w:p>
          <w:p>
            <w:pPr>
              <w:spacing w:before="0" w:after="60"/>
            </w:pPr>
            <w:r>
              <w:rPr>
                <w:rFonts w:ascii="Arial" w:hAnsi="Arial" w:eastAsia="Arial"/>
                <w:b/>
                <w:i w:val="0"/>
                <w:color w:val="00695C"/>
                <w:sz w:val="16"/>
              </w:rPr>
              <w:t>The Unifying Statement</w:t>
            </w:r>
          </w:p>
        </w:tc>
      </w:tr>
    </w:tbl>
    <w:p>
      <w:pPr>
        <w:spacing w:after="40"/>
      </w:pPr>
    </w:p>
    <w:tbl>
      <w:tblPr>
        <w:tblW w:type="auto" w:w="0"/>
        <w:tblLook w:firstColumn="1" w:firstRow="1" w:lastColumn="0" w:lastRow="0" w:noHBand="0" w:noVBand="1" w:val="04A0"/>
      </w:tblPr>
      <w:tblGrid>
        <w:gridCol w:w="9972"/>
      </w:tblGrid>
      <w:tr>
        <w:tc>
          <w:tcPr>
            <w:tcW w:type="dxa" w:w="9504"/>
            <w:shd w:val="clear" w:color="auto" w:fill="FFF8E1"/>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8B6914"/>
                <w:sz w:val="17"/>
              </w:rPr>
              <w:t xml:space="preserve">REVISED DESIGN GUIDANCE  </w:t>
            </w:r>
            <w:r>
              <w:rPr>
                <w:rFonts w:ascii="Arial" w:hAnsi="Arial" w:eastAsia="Arial"/>
                <w:b w:val="0"/>
                <w:i w:val="0"/>
                <w:color w:val="212121"/>
                <w:sz w:val="17"/>
              </w:rPr>
              <w:t>Section 35.3 advised recovering lost back-pocket burial at the P-loop and front pocket because the return per unit area was better there. That reasoning was wrong - the return is the same. The advice survives for a different and stronger reason: surface at the P-loop and front does not commit the inhibitor to a particular activation-loop conformation, so it buys affinity without buying a resistance liability. Choose where to place surface by the conformational dependence it creates, not by its expected energy density.</w:t>
            </w:r>
          </w:p>
        </w:tc>
      </w:tr>
    </w:tbl>
    <w:p>
      <w:pPr>
        <w:spacing w:after="60"/>
      </w:pPr>
    </w:p>
    <w:p>
      <w:pPr>
        <w:spacing w:before="220" w:after="80"/>
        <w:pBdr>
          <w:left w:val="single" w:sz="18" w:space="8" w:color="00695C"/>
        </w:pBdr>
      </w:pPr>
      <w:r>
        <w:rPr>
          <w:rFonts w:ascii="Arial" w:hAnsi="Arial" w:eastAsia="Arial"/>
          <w:b/>
          <w:i w:val="0"/>
          <w:color w:val="00695C"/>
          <w:sz w:val="21"/>
        </w:rPr>
        <w:t xml:space="preserve">  36.4  F691L: Rank Order Right, Magnitude Under-Predicted</w:t>
      </w:r>
    </w:p>
    <w:p>
      <w:pPr>
        <w:spacing w:after="100"/>
      </w:pPr>
      <w:r>
        <w:rPr>
          <w:rFonts w:ascii="Arial" w:hAnsi="Arial" w:eastAsia="Arial"/>
          <w:b w:val="0"/>
          <w:i w:val="0"/>
          <w:color w:val="212121"/>
          <w:sz w:val="19"/>
        </w:rPr>
        <w:t>F691 is a genuine contact residue in both complexes, so unlike D835 it is legitimate to assess in the bound state. The phenyl ring was deleted to leucine, hydrogens rebuilt, and the site relaxed from five perturbed starting conformations with the rest of the structure restrained.</w:t>
      </w:r>
    </w:p>
    <w:tbl>
      <w:tblPr>
        <w:tblW w:type="auto" w:w="0"/>
        <w:jc w:val="left"/>
        <w:tblLayout w:type="fixed"/>
        <w:tblLook w:firstColumn="1" w:firstRow="1" w:lastColumn="0" w:lastRow="0" w:noHBand="0" w:noVBand="1" w:val="04A0"/>
      </w:tblPr>
      <w:tblGrid>
        <w:gridCol w:w="1425"/>
        <w:gridCol w:w="1425"/>
        <w:gridCol w:w="1425"/>
        <w:gridCol w:w="1425"/>
        <w:gridCol w:w="1425"/>
        <w:gridCol w:w="1425"/>
        <w:gridCol w:w="1425"/>
      </w:tblGrid>
      <w:tr>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Agent</w:t>
            </w:r>
          </w:p>
        </w:tc>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WT energy at 691</w:t>
            </w:r>
          </w:p>
        </w:tc>
        <w:tc>
          <w:tcPr>
            <w:tcW w:type="dxa" w:w="108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dE at 691</w:t>
            </w:r>
          </w:p>
        </w:tc>
        <w:tc>
          <w:tcPr>
            <w:tcW w:type="dxa" w:w="100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dE total</w:t>
            </w:r>
          </w:p>
        </w:tc>
        <w:tc>
          <w:tcPr>
            <w:tcW w:type="dxa" w:w="108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Spread (sd)</w:t>
            </w:r>
          </w:p>
        </w:tc>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Measured fold-shift</w:t>
            </w:r>
          </w:p>
        </w:tc>
        <w:tc>
          <w:tcPr>
            <w:tcW w:type="dxa" w:w="165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Implied ddG (kcal/mol)</w:t>
            </w:r>
          </w:p>
        </w:tc>
      </w:tr>
      <w:tr>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-3.44</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1.59</w:t>
            </w:r>
          </w:p>
        </w:tc>
        <w:tc>
          <w:tcPr>
            <w:tcW w:type="dxa" w:w="100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1.04</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0.05</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121x</w:t>
            </w:r>
          </w:p>
        </w:tc>
        <w:tc>
          <w:tcPr>
            <w:tcW w:type="dxa" w:w="165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2.84</w:t>
            </w:r>
          </w:p>
        </w:tc>
      </w:tr>
      <w:tr>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-0.84</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0.16</w:t>
            </w:r>
          </w:p>
        </w:tc>
        <w:tc>
          <w:tcPr>
            <w:tcW w:type="dxa" w:w="100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0.51</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0.05</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5.6x</w:t>
            </w:r>
          </w:p>
        </w:tc>
        <w:tc>
          <w:tcPr>
            <w:tcW w:type="dxa" w:w="165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1.02</w:t>
            </w:r>
          </w:p>
        </w:tc>
      </w:tr>
    </w:tbl>
    <w:p>
      <w:pPr>
        <w:spacing w:after="80"/>
      </w:pPr>
    </w:p>
    <w:p>
      <w:pPr>
        <w:spacing w:after="100"/>
      </w:pPr>
      <w:r>
        <w:rPr>
          <w:rFonts w:ascii="Arial" w:hAnsi="Arial" w:eastAsia="Arial"/>
          <w:b w:val="0"/>
          <w:i w:val="0"/>
          <w:color w:val="212121"/>
          <w:sz w:val="19"/>
        </w:rPr>
        <w:t>The wild-type interaction at residue 691 is -3.44 kcal/mol for quizartinib against -0.84 for gilteritinib, a four-fold difference that tracks the 15.7 against 9.7 A2 of burial from XXXV. The mutation's computed penalty ranks the two agents correctly, and the conformer spread is negligible (0.05 kcal/mol across five starts), so the estimate is at least locally stable.</w:t>
      </w: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WHERE IT FAILS, AND WHY THAT IS INFORMATIVE  </w:t>
            </w:r>
            <w:r>
              <w:rPr>
                <w:rFonts w:ascii="Arial" w:hAnsi="Arial" w:eastAsia="Arial"/>
                <w:b w:val="0"/>
                <w:i w:val="0"/>
                <w:color w:val="212121"/>
                <w:sz w:val="17"/>
              </w:rPr>
              <w:t>Both computed penalties fall short of the measured ones. For gilteritinib the computed +0.51 kcal/mol is half of the +1.02 implied by its 5.6-fold shift (0.51 unaccounted for). For quizartinib the computed +1.04 recovers only 37% of the +2.84 implied by 121-fold - roughly 1.8 kcal/mol unaccounted for. The rank order is correct in both cases; the magnitudes are not, and the shortfall is about three and a half times larger for the type II agent. This is the same gap as in 36.3, from the other direction: F691L does not merely remove contacts, it destabilises the DFG-out back-pocket architecture, and a local relaxation of one structure cannot represent that. A method that scores contacts will under-predict resistance for both classes and most severely for type II inhibitors. Do not use a contact-based score to triage type II chemotypes against activation-segment mutations, and do not read the type I value as a quantitative prediction.</w:t>
            </w:r>
          </w:p>
        </w:tc>
      </w:tr>
    </w:tbl>
    <w:p>
      <w:pPr>
        <w:spacing w:after="60"/>
      </w:pPr>
    </w:p>
    <w:p>
      <w:pPr>
        <w:spacing w:before="220" w:after="80"/>
        <w:pBdr>
          <w:left w:val="single" w:sz="18" w:space="8" w:color="00695C"/>
        </w:pBdr>
      </w:pPr>
      <w:r>
        <w:rPr>
          <w:rFonts w:ascii="Arial" w:hAnsi="Arial" w:eastAsia="Arial"/>
          <w:b/>
          <w:i w:val="0"/>
          <w:color w:val="00695C"/>
          <w:sz w:val="21"/>
        </w:rPr>
        <w:t xml:space="preserve">  36.5  Specification for the Calculations That Need a GPU</w:t>
      </w:r>
    </w:p>
    <w:p>
      <w:pPr>
        <w:spacing w:after="100"/>
      </w:pPr>
      <w:r>
        <w:rPr>
          <w:rFonts w:ascii="Arial" w:hAnsi="Arial" w:eastAsia="Arial"/>
          <w:b w:val="0"/>
          <w:i w:val="0"/>
          <w:color w:val="212121"/>
          <w:sz w:val="19"/>
        </w:rPr>
        <w:t>No compute target was available for this work, and the machine has no GPU, so everything above is single-point and minimisation-scale. Two calculations would close the remaining gaps. They are specified here concretely enough to dispatch if a GPU host is added, rather than described in the abstract.</w:t>
      </w:r>
    </w:p>
    <w:tbl>
      <w:tblPr>
        <w:tblW w:type="auto" w:w="0"/>
        <w:jc w:val="left"/>
        <w:tblLayout w:type="fixed"/>
        <w:tblLook w:firstColumn="1" w:firstRow="1" w:lastColumn="0" w:lastRow="0" w:noHBand="0" w:noVBand="1" w:val="04A0"/>
      </w:tblPr>
      <w:tblGrid>
        <w:gridCol w:w="2493"/>
        <w:gridCol w:w="2493"/>
        <w:gridCol w:w="2493"/>
        <w:gridCol w:w="2493"/>
      </w:tblGrid>
      <w:tr>
        <w:tc>
          <w:tcPr>
            <w:tcW w:type="dxa" w:w="216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Calculation</w:t>
            </w:r>
          </w:p>
        </w:tc>
        <w:tc>
          <w:tcPr>
            <w:tcW w:type="dxa" w:w="33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Method and system</w:t>
            </w:r>
          </w:p>
        </w:tc>
        <w:tc>
          <w:tcPr>
            <w:tcW w:type="dxa" w:w="187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Cost estimate</w:t>
            </w:r>
          </w:p>
        </w:tc>
        <w:tc>
          <w:tcPr>
            <w:tcW w:type="dxa" w:w="30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The number it returns</w:t>
            </w:r>
          </w:p>
        </w:tc>
      </w:tr>
      <w:tr>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F691L alchemical free energy - do this first</w:t>
            </w:r>
          </w:p>
        </w:tc>
        <w:tc>
          <w:tcPr>
            <w:tcW w:type="dxa" w:w="33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Relative binding FEP, Phe-&gt;Leu in the bound and apo legs, 12-16 lambda windows, 5 ns per window, Hamiltonian replica exchange. Solvated kinase domain, roughly 45,000 atoms, TIP3P, AMBER14SB with GAFF2 ligand. Both complexes.</w:t>
            </w:r>
          </w:p>
        </w:tc>
        <w:tc>
          <w:tcPr>
            <w:tcW w:type="dxa" w:w="187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About 10 h per leg per complex on one modern GPU; roughly one day for the full set.</w:t>
            </w:r>
          </w:p>
        </w:tc>
        <w:tc>
          <w:tcPr>
            <w:tcW w:type="dxa" w:w="30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ddG_bind for F691L, directly comparable to the +2.84 and +1.02 kcal/mol measured here. Confirms whether the 1.8 kcal/mol shortfall in 36.4 is recovered by proper sampling and solvation, or is genuinely conformational.</w:t>
            </w:r>
          </w:p>
        </w:tc>
      </w:tr>
      <w:tr>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Conformational free energy of the activation segment</w:t>
            </w:r>
          </w:p>
        </w:tc>
        <w:tc>
          <w:tcPr>
            <w:tcW w:type="dxa" w:w="33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Well-tempered metadynamics or umbrella sampling along a DFG/activation-loop collective variable set (Phe830 displacement plus activation-loop RMSD to the DFG-out reference), on the APO kinase domain for wild type, D835Y and D835H. Multiple walkers.</w:t>
            </w:r>
          </w:p>
        </w:tc>
        <w:tc>
          <w:tcPr>
            <w:tcW w:type="dxa" w:w="187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About 1 microsecond aggregate per variant to converge the basin populations; several days per variant on one GPU, three variants.</w:t>
            </w:r>
          </w:p>
        </w:tc>
        <w:tc>
          <w:tcPr>
            <w:tcW w:type="dxa" w:w="30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The shift in free-energy difference between the DFG-out and DFG-in basins caused by each D835 substitution. This is the quantity that should predict the 49-fold type II fold-shift, and the one no bound-state calculation can return.</w:t>
            </w:r>
          </w:p>
        </w:tc>
      </w:tr>
      <w:tr>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Optional: per-chemotype prospective screen</w:t>
            </w:r>
          </w:p>
        </w:tc>
        <w:tc>
          <w:tcPr>
            <w:tcW w:type="dxa" w:w="33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Once the F691L protocol above is validated against the two known agents, run the same FEP on candidate chemotypes before synthesis.</w:t>
            </w:r>
          </w:p>
        </w:tc>
        <w:tc>
          <w:tcPr>
            <w:tcW w:type="dxa" w:w="187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Roughly one GPU-day per candidate per mutation.</w:t>
            </w:r>
          </w:p>
        </w:tc>
        <w:tc>
          <w:tcPr>
            <w:tcW w:type="dxa" w:w="30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Predicted mutant fold-shift, which is exactly the quantity the stage-2 gate of the cascade in Section XXXIII turns on.</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WHY THE ORDER MATTERS  </w:t>
            </w:r>
            <w:r>
              <w:rPr>
                <w:rFonts w:ascii="Arial" w:hAnsi="Arial" w:eastAsia="Arial"/>
                <w:b w:val="0"/>
                <w:i w:val="0"/>
                <w:color w:val="212121"/>
                <w:sz w:val="17"/>
              </w:rPr>
              <w:t>The F691L calculation comes first not because it is the more important question but because it is the one with a measured answer to validate against. A protocol that reproduces +2.84 and +1.02 for two known agents can be trusted on a new chemotype; the conformational calculation has no comparably direct experimental anchor, so it should be attempted only once the force field and sampling have been shown to work on the easier case.</w:t>
            </w:r>
          </w:p>
        </w:tc>
      </w:tr>
    </w:tbl>
    <w:p>
      <w:pPr>
        <w:spacing w:after="60"/>
      </w:pPr>
    </w:p>
    <w:p>
      <w:pPr>
        <w:shd w:val="clear" w:color="auto" w:fill="0D1B2A"/>
        <w:spacing w:before="280" w:after="160"/>
      </w:pPr>
      <w:r>
        <w:rPr>
          <w:rFonts w:ascii="Arial" w:hAnsi="Arial" w:eastAsia="Arial"/>
          <w:b/>
          <w:i w:val="0"/>
          <w:color w:val="FFFFFF"/>
          <w:sz w:val="23"/>
        </w:rPr>
        <w:t xml:space="preserve">  XXXVII.   PROSPECTIVE CANDIDATES AGAINST THE STRUCTURAL CRITERION</w:t>
      </w:r>
    </w:p>
    <w:p>
      <w:pPr>
        <w:spacing w:after="100"/>
      </w:pPr>
      <w:r>
        <w:rPr>
          <w:rFonts w:ascii="Arial" w:hAnsi="Arial" w:eastAsia="Arial"/>
          <w:b w:val="0"/>
          <w:i w:val="0"/>
          <w:color w:val="212121"/>
          <w:sz w:val="19"/>
        </w:rPr>
        <w:t>Sections XXX to XXXVI derived a design criterion from measured data - avoid back-pocket occupancy, recover affinity at the P-loop and hinge - and then stopped. This section closes that loop by generating molecules, predicting their poses, and scoring them with the same pipeline that was validated on two crystal structures. The honest summary is that the exercise worked, and that its most useful output is a correction to how the criterion must be applied.</w:t>
      </w:r>
    </w:p>
    <w:p>
      <w:pPr>
        <w:spacing w:before="220" w:after="80"/>
        <w:pBdr>
          <w:left w:val="single" w:sz="18" w:space="8" w:color="00695C"/>
        </w:pBdr>
      </w:pPr>
      <w:r>
        <w:rPr>
          <w:rFonts w:ascii="Arial" w:hAnsi="Arial" w:eastAsia="Arial"/>
          <w:b/>
          <w:i w:val="0"/>
          <w:color w:val="00695C"/>
          <w:sz w:val="21"/>
        </w:rPr>
        <w:t xml:space="preserve">  37.1  The Design Envelope, Derived Rather Than Asserted</w:t>
      </w:r>
    </w:p>
    <w:p>
      <w:pPr>
        <w:spacing w:after="100"/>
      </w:pPr>
      <w:r>
        <w:rPr>
          <w:rFonts w:ascii="Arial" w:hAnsi="Arial" w:eastAsia="Arial"/>
          <w:b w:val="0"/>
          <w:i w:val="0"/>
          <w:color w:val="212121"/>
          <w:sz w:val="19"/>
        </w:rPr>
        <w:t>Acceptance windows come from the type I subset of the ten agents characterised in XXIX, not from generic Rule-of-Five limits. Midostaurin is excluded from the envelope and the exclusion is recorded: it is a staurosporine-derived multikinase agent whose ALogP of 5.91 and LLE of 2.05 sit in type II territory, it is the weakest type I by pIC50, and keeping it would erase the class separation the envelope depends on.</w:t>
      </w:r>
    </w:p>
    <w:tbl>
      <w:tblPr>
        <w:tblW w:type="auto" w:w="0"/>
        <w:jc w:val="left"/>
        <w:tblLayout w:type="fixed"/>
        <w:tblLook w:firstColumn="1" w:firstRow="1" w:lastColumn="0" w:lastRow="0" w:noHBand="0" w:noVBand="1" w:val="04A0"/>
      </w:tblPr>
      <w:tblGrid>
        <w:gridCol w:w="1425"/>
        <w:gridCol w:w="1425"/>
        <w:gridCol w:w="1425"/>
        <w:gridCol w:w="1425"/>
        <w:gridCol w:w="1425"/>
        <w:gridCol w:w="1425"/>
        <w:gridCol w:w="1425"/>
      </w:tblGrid>
      <w:tr>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Parameter</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Window low</w:t>
            </w:r>
          </w:p>
        </w:tc>
        <w:tc>
          <w:tcPr>
            <w:tcW w:type="dxa" w:w="15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Set by</w:t>
            </w:r>
          </w:p>
        </w:tc>
        <w:tc>
          <w:tcPr>
            <w:tcW w:type="dxa" w:w="129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Window high</w:t>
            </w:r>
          </w:p>
        </w:tc>
        <w:tc>
          <w:tcPr>
            <w:tcW w:type="dxa" w:w="15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Set by</w:t>
            </w:r>
          </w:p>
        </w:tc>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Type I core mean</w:t>
            </w:r>
          </w:p>
        </w:tc>
        <w:tc>
          <w:tcPr>
            <w:tcW w:type="dxa" w:w="129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Type II mean</w:t>
            </w:r>
          </w:p>
        </w:tc>
      </w:tr>
      <w:tr>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MW</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398.48</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sunitinib</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552.72</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458.56</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507.72</w:t>
            </w:r>
          </w:p>
        </w:tc>
      </w:tr>
      <w:tr>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ALogP</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3.92</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crenolanib</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3.35</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5.23</w:t>
            </w:r>
          </w:p>
        </w:tc>
      </w:tr>
      <w:tr>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PSA</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77.23</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sunitinib</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121.11</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91.36</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84.61</w:t>
            </w:r>
          </w:p>
        </w:tc>
      </w:tr>
      <w:tr>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RTB</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lestaurtinib</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9.0</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5.5</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6.2</w:t>
            </w:r>
          </w:p>
        </w:tc>
      </w:tr>
      <w:tr>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QED</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0.37</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lestaurtinib</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0.63</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sunitinib</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0.48</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0.38</w:t>
            </w:r>
          </w:p>
        </w:tc>
      </w:tr>
      <w:tr>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0.39</w:t>
            </w:r>
          </w:p>
        </w:tc>
        <w:tc>
          <w:tcPr>
            <w:tcW w:type="dxa" w:w="15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sunitinib</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0.36</w:t>
            </w:r>
          </w:p>
        </w:tc>
        <w:tc>
          <w:tcPr>
            <w:tcW w:type="dxa" w:w="129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0.31</w:t>
            </w:r>
          </w:p>
        </w:tc>
      </w:tr>
      <w:tr>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LLE</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4.97</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crenolanib</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6.04</w:t>
            </w:r>
          </w:p>
        </w:tc>
        <w:tc>
          <w:tcPr>
            <w:tcW w:type="dxa" w:w="15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5.33</w:t>
            </w:r>
          </w:p>
        </w:tc>
        <w:tc>
          <w:tcPr>
            <w:tcW w:type="dxa" w:w="129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2.5</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FFF8E1"/>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8B6914"/>
                <w:sz w:val="17"/>
              </w:rPr>
              <w:t xml:space="preserve">TWO PROPERTIES SEPARATE THE CLASSES CLEANLY  </w:t>
            </w:r>
            <w:r>
              <w:rPr>
                <w:rFonts w:ascii="Arial" w:hAnsi="Arial" w:eastAsia="Arial"/>
                <w:b w:val="0"/>
                <w:i w:val="0"/>
                <w:color w:val="212121"/>
                <w:sz w:val="17"/>
              </w:rPr>
              <w:t>With midostaurin set aside, ALogP splits the two classes with no overlap at all - every type I core agent sits between 2.70 and 3.92, every type II between 4.46 and 5.86 - and LLE separates them by a 2.28-unit margin (4.97-6.04 against 2.15-2.69). LLE is therefore the single most discriminating property metric in this series. The catch is that LLE and LE both require a measured potency, so neither can be applied prospectively to a molecule that has never been assayed. They are post-hoc checks, and the prospective gates reduce to ALogP, MW, PSA, rotatable bonds, Ro5 count and a similarity corridor.</w:t>
            </w:r>
          </w:p>
        </w:tc>
      </w:tr>
    </w:tbl>
    <w:p>
      <w:pPr>
        <w:spacing w:after="60"/>
      </w:pPr>
    </w:p>
    <w:p>
      <w:pPr>
        <w:spacing w:before="220" w:after="80"/>
        <w:pBdr>
          <w:left w:val="single" w:sz="18" w:space="8" w:color="00695C"/>
        </w:pBdr>
      </w:pPr>
      <w:r>
        <w:rPr>
          <w:rFonts w:ascii="Arial" w:hAnsi="Arial" w:eastAsia="Arial"/>
          <w:b/>
          <w:i w:val="0"/>
          <w:color w:val="00695C"/>
          <w:sz w:val="21"/>
        </w:rPr>
        <w:t xml:space="preserve">  37.2  Validating the Scoring Pipeline Before Trusting It</w:t>
      </w:r>
    </w:p>
    <w:p>
      <w:pPr>
        <w:spacing w:after="100"/>
      </w:pPr>
      <w:r>
        <w:rPr>
          <w:rFonts w:ascii="Arial" w:hAnsi="Arial" w:eastAsia="Arial"/>
          <w:b w:val="0"/>
          <w:i w:val="0"/>
          <w:color w:val="212121"/>
          <w:sz w:val="19"/>
        </w:rPr>
        <w:t>The criterion was derived from crystal poses. Whether predicted poses can support it is a separate question, and it was settled first, on the two drugs whose answers are already known, so that a failure would stop the campaign rather than be discovered afterwards. Each drug was re-docked into its own receptor from a conformer built from SMILES alone, carrying no crystal geometry.</w:t>
      </w:r>
    </w:p>
    <w:tbl>
      <w:tblPr>
        <w:tblW w:type="auto" w:w="0"/>
        <w:jc w:val="left"/>
        <w:tblLayout w:type="fixed"/>
        <w:tblLook w:firstColumn="1" w:firstRow="1" w:lastColumn="0" w:lastRow="0" w:noHBand="0" w:noVBand="1" w:val="04A0"/>
      </w:tblPr>
      <w:tblGrid>
        <w:gridCol w:w="767"/>
        <w:gridCol w:w="767"/>
        <w:gridCol w:w="767"/>
        <w:gridCol w:w="767"/>
        <w:gridCol w:w="767"/>
        <w:gridCol w:w="767"/>
        <w:gridCol w:w="767"/>
        <w:gridCol w:w="767"/>
        <w:gridCol w:w="767"/>
        <w:gridCol w:w="767"/>
        <w:gridCol w:w="767"/>
        <w:gridCol w:w="767"/>
        <w:gridCol w:w="767"/>
      </w:tblGrid>
      <w:tr>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Agent</w:t>
            </w:r>
          </w:p>
        </w:tc>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Receptor</w:t>
            </w:r>
          </w:p>
        </w:tc>
        <w:tc>
          <w:tcPr>
            <w:tcW w:type="dxa" w:w="605"/>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Mode</w:t>
            </w:r>
          </w:p>
        </w:tc>
        <w:tc>
          <w:tcPr>
            <w:tcW w:type="dxa" w:w="49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Poses</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RMSD rank-1</w:t>
            </w:r>
          </w:p>
        </w:tc>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RMSD best</w:t>
            </w:r>
          </w:p>
        </w:tc>
        <w:tc>
          <w:tcPr>
            <w:tcW w:type="dxa" w:w="749"/>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n_bp crystal</w:t>
            </w:r>
          </w:p>
        </w:tc>
        <w:tc>
          <w:tcPr>
            <w:tcW w:type="dxa" w:w="691"/>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n_bp docked</w:t>
            </w:r>
          </w:p>
        </w:tc>
        <w:tc>
          <w:tcPr>
            <w:tcW w:type="dxa" w:w="95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bp dSASA crystal</w:t>
            </w:r>
          </w:p>
        </w:tc>
        <w:tc>
          <w:tcPr>
            <w:tcW w:type="dxa" w:w="893"/>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bp dSASA docked</w:t>
            </w:r>
          </w:p>
        </w:tc>
        <w:tc>
          <w:tcPr>
            <w:tcW w:type="dxa" w:w="79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Buried crystal</w:t>
            </w:r>
          </w:p>
        </w:tc>
        <w:tc>
          <w:tcPr>
            <w:tcW w:type="dxa" w:w="79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Buried docked</w:t>
            </w:r>
          </w:p>
        </w:tc>
        <w:tc>
          <w:tcPr>
            <w:tcW w:type="dxa" w:w="79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Confidence</w:t>
            </w:r>
          </w:p>
        </w:tc>
      </w:tr>
      <w:tr>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6JQR</w:t>
            </w:r>
          </w:p>
        </w:tc>
        <w:tc>
          <w:tcPr>
            <w:tcW w:type="dxa" w:w="605"/>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self</w:t>
            </w:r>
          </w:p>
        </w:tc>
        <w:tc>
          <w:tcPr>
            <w:tcW w:type="dxa" w:w="49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3.06</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2.3</w:t>
            </w:r>
          </w:p>
        </w:tc>
        <w:tc>
          <w:tcPr>
            <w:tcW w:type="dxa" w:w="749"/>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691"/>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w:t>
            </w:r>
          </w:p>
        </w:tc>
        <w:tc>
          <w:tcPr>
            <w:tcW w:type="dxa" w:w="95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456.9</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434.7</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-0.309</w:t>
            </w:r>
          </w:p>
        </w:tc>
      </w:tr>
      <w:tr>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4XUF</w:t>
            </w:r>
          </w:p>
        </w:tc>
        <w:tc>
          <w:tcPr>
            <w:tcW w:type="dxa" w:w="605"/>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self</w:t>
            </w:r>
          </w:p>
        </w:tc>
        <w:tc>
          <w:tcPr>
            <w:tcW w:type="dxa" w:w="49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1.28</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1.12</w:t>
            </w:r>
          </w:p>
        </w:tc>
        <w:tc>
          <w:tcPr>
            <w:tcW w:type="dxa" w:w="749"/>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6.0</w:t>
            </w:r>
          </w:p>
        </w:tc>
        <w:tc>
          <w:tcPr>
            <w:tcW w:type="dxa" w:w="691"/>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w:t>
            </w:r>
          </w:p>
        </w:tc>
        <w:tc>
          <w:tcPr>
            <w:tcW w:type="dxa" w:w="95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74.6</w:t>
            </w:r>
          </w:p>
        </w:tc>
        <w:tc>
          <w:tcPr>
            <w:tcW w:type="dxa" w:w="893"/>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70.8</w:t>
            </w:r>
          </w:p>
        </w:tc>
        <w:tc>
          <w:tcPr>
            <w:tcW w:type="dxa" w:w="7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696.6</w:t>
            </w:r>
          </w:p>
        </w:tc>
        <w:tc>
          <w:tcPr>
            <w:tcW w:type="dxa" w:w="7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689.0</w:t>
            </w:r>
          </w:p>
        </w:tc>
        <w:tc>
          <w:tcPr>
            <w:tcW w:type="dxa" w:w="7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-0.228</w:t>
            </w:r>
          </w:p>
        </w:tc>
      </w:tr>
      <w:tr>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6JQR</w:t>
            </w:r>
          </w:p>
        </w:tc>
        <w:tc>
          <w:tcPr>
            <w:tcW w:type="dxa" w:w="605"/>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cross</w:t>
            </w:r>
          </w:p>
        </w:tc>
        <w:tc>
          <w:tcPr>
            <w:tcW w:type="dxa" w:w="49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749"/>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691"/>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w:t>
            </w:r>
          </w:p>
        </w:tc>
        <w:tc>
          <w:tcPr>
            <w:tcW w:type="dxa" w:w="95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11.4</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654.9</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-0.956</w:t>
            </w:r>
          </w:p>
        </w:tc>
      </w:tr>
    </w:tbl>
    <w:p>
      <w:pPr>
        <w:spacing w:after="80"/>
      </w:pPr>
    </w:p>
    <w:p>
      <w:pPr>
        <w:spacing w:after="100"/>
      </w:pPr>
      <w:r>
        <w:rPr>
          <w:rFonts w:ascii="Arial" w:hAnsi="Arial" w:eastAsia="Arial"/>
          <w:b w:val="0"/>
          <w:i w:val="0"/>
          <w:color w:val="212121"/>
          <w:sz w:val="19"/>
        </w:rPr>
        <w:t>Back-pocket burial is recovered in both directions: gilteritinib gives 0.0 square angstroms across all ten poses, identical to its crystal value of 0.0, and quizartinib 60.6 to 80.9 against a crystal 74.6. Total ligand burial lands within 5% and 1% of crystal respectively. Pose accuracy is asymmetric, and the weaker case is the production one - quizartinib's rank-1 pose is 1.28 angstroms from crystal, inside the conventional 2.0 angstrom success bar, while gilteritinib's is 3.06 with a best-of-ten of 2.30. The criterion nevertheless survives that error, which is the result that licenses the rest of this section: a 3 angstrom pose still correctly reports zero back-pocket burial.</w:t>
      </w: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THE CONTROL CHANGED THE METRIC  </w:t>
            </w:r>
            <w:r>
              <w:rPr>
                <w:rFonts w:ascii="Arial" w:hAnsi="Arial" w:eastAsia="Arial"/>
                <w:b w:val="0"/>
                <w:i w:val="0"/>
                <w:color w:val="212121"/>
                <w:sz w:val="17"/>
              </w:rPr>
              <w:t>Cross-docking quizartinib into the type I receptor moved n_bp only from 5/6 to 4/5 while back-pocket burial collapsed from 70.8 to 11.4 square angstroms - a 6.2-fold separation invisible to the contact count. This confirms from an independent direction the conclusion of 36.4: report burial, which is continuous, rather than contact counts, which are a step function at an arbitrary distance. The ranking below therefore uses burial. DiffDock's own confidence also tracked the mismatch, -0.23 in the native receptor against -0.96 cross-docked, making it usable as a sanity filter.</w:t>
            </w:r>
          </w:p>
        </w:tc>
      </w:tr>
    </w:tbl>
    <w:p>
      <w:pPr>
        <w:spacing w:after="60"/>
      </w:pPr>
    </w:p>
    <w:p>
      <w:pPr>
        <w:spacing w:before="220" w:after="80"/>
        <w:pBdr>
          <w:left w:val="single" w:sz="18" w:space="8" w:color="00695C"/>
        </w:pBdr>
      </w:pPr>
      <w:r>
        <w:rPr>
          <w:rFonts w:ascii="Arial" w:hAnsi="Arial" w:eastAsia="Arial"/>
          <w:b/>
          <w:i w:val="0"/>
          <w:color w:val="00695C"/>
          <w:sz w:val="21"/>
        </w:rPr>
        <w:t xml:space="preserve">  37.3  The Criterion Cannot Be Applied in the Receptor It Came From</w:t>
      </w:r>
    </w:p>
    <w:p>
      <w:pPr>
        <w:spacing w:after="100"/>
      </w:pPr>
      <w:r>
        <w:rPr>
          <w:rFonts w:ascii="Arial" w:hAnsi="Arial" w:eastAsia="Arial"/>
          <w:b w:val="0"/>
          <w:i w:val="0"/>
          <w:color w:val="212121"/>
          <w:sz w:val="19"/>
        </w:rPr>
        <w:t>Scoring the generated set in 6JQR produced a result that looked like success and was not: three quarters of all candidate poses buried exactly zero back-pocket surface. The control explains why. 6JQR's conformation denies back-pocket access to everything, including quizartinib, which manages only 11.4 square angstroms there. In that receptor, N_bp = 0 is a property of the protein, not of the ligand, and the criterion has no discriminating power at all.</w:t>
      </w:r>
    </w:p>
    <w:tbl>
      <w:tblPr>
        <w:tblW w:type="auto" w:w="0"/>
        <w:jc w:val="left"/>
        <w:tblLook w:firstColumn="1" w:firstRow="1" w:lastColumn="0" w:lastRow="0" w:noHBand="0" w:noVBand="1" w:val="04A0"/>
      </w:tblPr>
      <w:tblGrid>
        <w:gridCol w:w="9972"/>
      </w:tblGrid>
      <w:tr>
        <w:tc>
          <w:tcPr>
            <w:tcW w:type="dxa" w:w="9504"/>
            <w:shd w:val="clear" w:color="auto" w:fill="F5F7FA"/>
            <w:tcBorders>
              <w:top w:val="single" w:sz="4" w:color="D6DEE7"/>
              <w:bottom w:val="single" w:sz="4" w:color="D6DEE7"/>
              <w:left w:val="single" w:sz="4" w:color="D6DEE7"/>
              <w:right w:val="single" w:sz="4" w:color="D6DEE7"/>
            </w:tcBorders>
          </w:tcPr>
          <w:p>
            <w:pPr>
              <w:spacing w:before="60" w:after="20"/>
            </w:pPr>
            <w:r>
              <w:rPr>
                <w:rFonts w:ascii="Courier New" w:hAnsi="Courier New" w:eastAsia="Courier New"/>
                <w:b/>
                <w:i w:val="0"/>
                <w:color w:val="0D1B2A"/>
                <w:sz w:val="18"/>
              </w:rPr>
              <w:t>The discriminating experiment is the opposite one:</w:t>
              <w:br/>
              <w:t xml:space="preserve">  dock into 4XUF, where the back pocket is OPEN, and ask whether</w:t>
              <w:br/>
              <w:t xml:space="preserve">  the candidate still refuses to bury there.</w:t>
            </w:r>
          </w:p>
          <w:p>
            <w:pPr>
              <w:spacing w:before="0" w:after="60"/>
            </w:pPr>
            <w:r>
              <w:rPr>
                <w:rFonts w:ascii="Arial" w:hAnsi="Arial" w:eastAsia="Arial"/>
                <w:b/>
                <w:i w:val="0"/>
                <w:color w:val="00695C"/>
                <w:sz w:val="16"/>
              </w:rPr>
              <w:t>Open-Pocket Test</w:t>
            </w:r>
          </w:p>
        </w:tc>
      </w:tr>
    </w:tbl>
    <w:p>
      <w:pPr>
        <w:spacing w:after="40"/>
      </w:pPr>
    </w:p>
    <w:p>
      <w:pPr>
        <w:spacing w:after="100"/>
      </w:pPr>
      <w:r>
        <w:rPr>
          <w:rFonts w:ascii="Arial" w:hAnsi="Arial" w:eastAsia="Arial"/>
          <w:b w:val="0"/>
          <w:i w:val="0"/>
          <w:color w:val="212121"/>
          <w:sz w:val="19"/>
        </w:rPr>
        <w:t>All 76 candidates were therefore docked into 4XUF as well. Fourteen of them - 18% - bury more than half of quizartinib's back-pocket surface once the pocket is available, despite every one of them reading N_bp = 0 in 6JQR. They are latent type II scaffolds, and a criterion applied only in the type I receptor would have passed them. Open-pocket burial correlates with molecular size at r = 0.475, so the effect is partly but not wholly a size artefact.</w:t>
      </w:r>
    </w:p>
    <w:tbl>
      <w:tblPr>
        <w:tblW w:type="auto" w:w="0"/>
        <w:tblLook w:firstColumn="1" w:firstRow="1" w:lastColumn="0" w:lastRow="0" w:noHBand="0" w:noVBand="1" w:val="04A0"/>
      </w:tblPr>
      <w:tblGrid>
        <w:gridCol w:w="9972"/>
      </w:tblGrid>
      <w:tr>
        <w:tc>
          <w:tcPr>
            <w:tcW w:type="dxa" w:w="9504"/>
            <w:shd w:val="clear" w:color="auto" w:fill="FFF8E1"/>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8B6914"/>
                <w:sz w:val="17"/>
              </w:rPr>
              <w:t xml:space="preserve">A GENERAL LESSON FOR CONFORMATION-SELECTIVE DESIGN  </w:t>
            </w:r>
            <w:r>
              <w:rPr>
                <w:rFonts w:ascii="Arial" w:hAnsi="Arial" w:eastAsia="Arial"/>
                <w:b w:val="0"/>
                <w:i w:val="0"/>
                <w:color w:val="212121"/>
                <w:sz w:val="17"/>
              </w:rPr>
              <w:t>A negative structural criterion - the absence of an interaction - cannot be tested in a receptor conformation that forbids that interaction for every ligand. The test has to be run where the interaction is possible. This generalises well beyond FLT3: any programme selecting for conformational selectivity should screen in the conformation it wants to AVOID, not only in the one it wants to occupy.</w:t>
            </w:r>
          </w:p>
        </w:tc>
      </w:tr>
    </w:tbl>
    <w:p>
      <w:pPr>
        <w:spacing w:after="60"/>
      </w:pPr>
    </w:p>
    <w:p>
      <w:pPr>
        <w:spacing w:before="220" w:after="80"/>
        <w:pBdr>
          <w:left w:val="single" w:sz="18" w:space="8" w:color="00695C"/>
        </w:pBdr>
      </w:pPr>
      <w:r>
        <w:rPr>
          <w:rFonts w:ascii="Arial" w:hAnsi="Arial" w:eastAsia="Arial"/>
          <w:b/>
          <w:i w:val="0"/>
          <w:color w:val="00695C"/>
          <w:sz w:val="21"/>
        </w:rPr>
        <w:t xml:space="preserve">  37.4  The Funnel</w:t>
      </w:r>
    </w:p>
    <w:tbl>
      <w:tblPr>
        <w:tblW w:type="auto" w:w="0"/>
        <w:jc w:val="left"/>
        <w:tblLayout w:type="fixed"/>
        <w:tblLook w:firstColumn="1" w:firstRow="1" w:lastColumn="0" w:lastRow="0" w:noHBand="0" w:noVBand="1" w:val="04A0"/>
      </w:tblPr>
      <w:tblGrid>
        <w:gridCol w:w="3324"/>
        <w:gridCol w:w="3324"/>
        <w:gridCol w:w="3324"/>
      </w:tblGrid>
      <w:tr>
        <w:tc>
          <w:tcPr>
            <w:tcW w:type="dxa" w:w="31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Stage</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Surviving</w:t>
            </w:r>
          </w:p>
        </w:tc>
        <w:tc>
          <w:tcPr>
            <w:tcW w:type="dxa" w:w="51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Detail</w:t>
            </w:r>
          </w:p>
        </w:tc>
      </w:tr>
      <w:tr>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Raw molecules generated</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270</w:t>
            </w:r>
          </w:p>
        </w:tc>
        <w:tc>
          <w:tcPr>
            <w:tcW w:type="dxa" w:w="51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MolMIM 150 across 5 similarity levels; GenMol 120 across 4 settings</w:t>
            </w:r>
          </w:p>
        </w:tc>
      </w:tr>
      <w:tr>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Unique canonical structures</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211</w:t>
            </w:r>
          </w:p>
        </w:tc>
        <w:tc>
          <w:tcPr>
            <w:tcW w:type="dxa" w:w="51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59 duplicate structures removed</w:t>
            </w:r>
          </w:p>
        </w:tc>
      </w:tr>
      <w:tr>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Through the property envelope</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76</w:t>
            </w:r>
          </w:p>
        </w:tc>
        <w:tc>
          <w:tcPr>
            <w:tcW w:type="dxa" w:w="51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64 too dissimilar to the chemotype; 33 near-duplicate of the seed; 16 MW above 580; 15 ALogP above 4.0 (type II territory)</w:t>
            </w:r>
          </w:p>
        </w:tc>
      </w:tr>
      <w:tr>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Docked into 6JQR</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76</w:t>
            </w:r>
          </w:p>
        </w:tc>
        <w:tc>
          <w:tcPr>
            <w:tcW w:type="dxa" w:w="51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760 poses, no endpoint failures</w:t>
            </w:r>
          </w:p>
        </w:tc>
      </w:tr>
      <w:tr>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Genuinely type I in the OPEN pocket</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53</w:t>
            </w:r>
          </w:p>
        </w:tc>
        <w:tc>
          <w:tcPr>
            <w:tcW w:type="dxa" w:w="51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back-pocket burial &lt;= 7.1 A2 in 4XUF</w:t>
            </w:r>
          </w:p>
        </w:tc>
      </w:tr>
      <w:tr>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Recover gilteritinib's front-pocket burial</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25</w:t>
            </w:r>
          </w:p>
        </w:tc>
        <w:tc>
          <w:tcPr>
            <w:tcW w:type="dxa" w:w="51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&gt;= 201.8 A2</w:t>
            </w:r>
          </w:p>
        </w:tc>
      </w:tr>
      <w:tr>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Pass all three structural gates</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w:t>
            </w:r>
          </w:p>
        </w:tc>
        <w:tc>
          <w:tcPr>
            <w:tcW w:type="dxa" w:w="51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plus DiffDock confidence &gt;= -1.0</w:t>
            </w:r>
          </w:p>
        </w:tc>
      </w:tr>
      <w:tr>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Clash-free at 2.00 A</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51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 excluded: a 1.10 A contact, +413.77 kcal/mol</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TWO FILTERS THAT HAD TO BE DEMOTED OR RECALIBRATED  </w:t>
            </w:r>
            <w:r>
              <w:rPr>
                <w:rFonts w:ascii="Arial" w:hAnsi="Arial" w:eastAsia="Arial"/>
                <w:b w:val="0"/>
                <w:i w:val="0"/>
                <w:color w:val="212121"/>
                <w:sz w:val="17"/>
              </w:rPr>
              <w:t>The PAINS substructure filter flags gilteritinib itself, so it was recorded rather than applied as a gate - the same principle the Volume I audit applied to numeric thresholds: a filter that rejects the approved reference compound cannot arbitrate the series. Separately, a steric-clash screen set at 2.60 angstroms rejected the crystal quizartinib pose, whose own closest heavy-atom approach is 2.11 angstroms; it was reset to 2.00 angstroms, below every reference pose.</w:t>
            </w:r>
          </w:p>
        </w:tc>
      </w:tr>
    </w:tbl>
    <w:p>
      <w:pPr>
        <w:spacing w:after="60"/>
      </w:pPr>
    </w:p>
    <w:p>
      <w:pPr>
        <w:spacing w:after="100"/>
      </w:pPr>
      <w:r>
        <w:rPr>
          <w:rFonts w:ascii="Arial" w:hAnsi="Arial" w:eastAsia="Arial"/>
          <w:b w:val="0"/>
          <w:i w:val="0"/>
          <w:color w:val="212121"/>
          <w:sz w:val="19"/>
        </w:rPr>
        <w:t>One further note on the generators. All 76 survivors came from MolMIM; GenMol contributed none, because its conservative single-group edits land at Tanimoto 0.80 to 1.00 against the seed and are eliminated by the novelty ceiling. MolMIM's QED objective pulls the other way and shrinks molecules - median 29 heavy atoms against 40 for both reference drugs - so 38 candidates fall below the type I core molecular-weight floor. Those were kept deliberately, to be adjudicated by burial rather than by an arbitrary size gate.</w:t>
      </w:r>
    </w:p>
    <w:p>
      <w:pPr>
        <w:spacing w:before="220" w:after="80"/>
        <w:pBdr>
          <w:left w:val="single" w:sz="18" w:space="8" w:color="00695C"/>
        </w:pBdr>
      </w:pPr>
      <w:r>
        <w:rPr>
          <w:rFonts w:ascii="Arial" w:hAnsi="Arial" w:eastAsia="Arial"/>
          <w:b/>
          <w:i w:val="0"/>
          <w:color w:val="00695C"/>
          <w:sz w:val="21"/>
        </w:rPr>
        <w:t xml:space="preserve">  37.5  The Surviving Candidates</w:t>
      </w:r>
    </w:p>
    <w:p>
      <w:pPr>
        <w:spacing w:before="120" w:after="60"/>
        <w:jc w:val="center"/>
      </w:pPr>
      <w:r>
        <w:drawing>
          <wp:inline xmlns:a="http://schemas.openxmlformats.org/drawingml/2006/main" xmlns:pic="http://schemas.openxmlformats.org/drawingml/2006/picture">
            <wp:extent cx="5943600" cy="5389510"/>
            <wp:docPr id="5" name="Picture 5"/>
            <wp:cNvGraphicFramePr>
              <a:graphicFrameLocks noChangeAspect="1"/>
            </wp:cNvGraphicFramePr>
            <a:graphic>
              <a:graphicData uri="http://schemas.openxmlformats.org/drawingml/2006/picture">
                <pic:pic>
                  <pic:nvPicPr>
                    <pic:cNvPr id="0" name="Flt3_candidate_design.png"/>
                    <pic:cNvPicPr/>
                  </pic:nvPicPr>
                  <pic:blipFill>
                    <a:blip r:embed="rId13"/>
                    <a:stretch>
                      <a:fillRect/>
                    </a:stretch>
                  </pic:blipFill>
                  <pic:spPr>
                    <a:xfrm>
                      <a:off x="0" y="0"/>
                      <a:ext cx="5943600" cy="5389510"/>
                    </a:xfrm>
                    <a:prstGeom prst="rect"/>
                  </pic:spPr>
                </pic:pic>
              </a:graphicData>
            </a:graphic>
          </wp:inline>
        </w:drawing>
      </w:r>
    </w:p>
    <w:tbl>
      <w:tblPr>
        <w:tblW w:type="auto" w:w="0"/>
        <w:tblLook w:firstColumn="1" w:firstRow="1" w:lastColumn="0" w:lastRow="0" w:noHBand="0" w:noVBand="1" w:val="04A0"/>
      </w:tblPr>
      <w:tblGrid>
        <w:gridCol w:w="9972"/>
      </w:tblGrid>
      <w:tr>
        <w:tc>
          <w:tcPr>
            <w:tcW w:type="dxa" w:w="9504"/>
            <w:shd w:val="clear" w:color="auto" w:fill="F0F4F8"/>
            <w:tcBorders>
              <w:top w:val="single" w:sz="4" w:color="D6DEE7"/>
              <w:bottom w:val="single" w:sz="4" w:color="D6DEE7"/>
              <w:left w:val="single" w:sz="4" w:color="D6DEE7"/>
              <w:right w:val="single" w:sz="4" w:color="D6DEE7"/>
            </w:tcBorders>
          </w:tcPr>
          <w:p>
            <w:pPr>
              <w:spacing w:before="60" w:after="60"/>
            </w:pPr>
            <w:r>
              <w:rPr>
                <w:rFonts w:ascii="Arial" w:hAnsi="Arial" w:eastAsia="Arial"/>
                <w:b/>
                <w:i w:val="0"/>
                <w:color w:val="0D1B2A"/>
                <w:sz w:val="16"/>
              </w:rPr>
              <w:t xml:space="preserve">Figure.  </w:t>
            </w:r>
            <w:r>
              <w:rPr>
                <w:rFonts w:ascii="Arial" w:hAnsi="Arial" w:eastAsia="Arial"/>
                <w:b w:val="0"/>
                <w:i w:val="0"/>
                <w:color w:val="212121"/>
                <w:sz w:val="16"/>
              </w:rPr>
              <w:t>Prospective candidate generation against the structural criterion. (a) Control validation: docked against crystal back-pocket burial for both reference drugs, with the spread over ten poses and rank-1 RMSD. (b) Property space: generated molecules against the ten characterised agents, with the ALogP gate and the excluded outlier marked. (c) The open-pocket test - back-pocket burial in the closed receptor against the open one, exposing fourteen latent type II scaffolds invisible in the closed conformation. (d) Front-pocket burial against molecular size, with gilteritinib's burial per heavy atom as the reference slope.</w:t>
            </w:r>
          </w:p>
        </w:tc>
      </w:tr>
    </w:tbl>
    <w:p>
      <w:pPr>
        <w:spacing w:after="60"/>
      </w:pPr>
    </w:p>
    <w:tbl>
      <w:tblPr>
        <w:tblW w:type="auto" w:w="0"/>
        <w:jc w:val="left"/>
        <w:tblLayout w:type="fixed"/>
        <w:tblLook w:firstColumn="1" w:firstRow="1" w:lastColumn="0" w:lastRow="0" w:noHBand="0" w:noVBand="1" w:val="04A0"/>
      </w:tblPr>
      <w:tblGrid>
        <w:gridCol w:w="997"/>
        <w:gridCol w:w="997"/>
        <w:gridCol w:w="997"/>
        <w:gridCol w:w="997"/>
        <w:gridCol w:w="997"/>
        <w:gridCol w:w="997"/>
        <w:gridCol w:w="997"/>
        <w:gridCol w:w="997"/>
        <w:gridCol w:w="997"/>
        <w:gridCol w:w="997"/>
      </w:tblGrid>
      <w:tr>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ID</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MW</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ALogP</w:t>
            </w:r>
          </w:p>
        </w:tc>
        <w:tc>
          <w:tcPr>
            <w:tcW w:type="dxa" w:w="79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QED</w:t>
            </w:r>
          </w:p>
        </w:tc>
        <w:tc>
          <w:tcPr>
            <w:tcW w:type="dxa" w:w="13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Tanimoto to gilteritinib</w:t>
            </w:r>
          </w:p>
        </w:tc>
        <w:tc>
          <w:tcPr>
            <w:tcW w:type="dxa" w:w="979"/>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Heavy atoms</w:t>
            </w:r>
          </w:p>
        </w:tc>
        <w:tc>
          <w:tcPr>
            <w:tcW w:type="dxa" w:w="115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Closest contact (A)</w:t>
            </w:r>
          </w:p>
        </w:tc>
        <w:tc>
          <w:tcPr>
            <w:tcW w:type="dxa" w:w="144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Back-pocket burial, OPEN pocket (A2)</w:t>
            </w:r>
          </w:p>
        </w:tc>
        <w:tc>
          <w:tcPr>
            <w:tcW w:type="dxa" w:w="108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Front burial (A2)</w:t>
            </w:r>
          </w:p>
        </w:tc>
        <w:tc>
          <w:tcPr>
            <w:tcW w:type="dxa" w:w="108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Confidence</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C069</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424.55</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0.621</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0.344</w:t>
            </w:r>
          </w:p>
        </w:tc>
        <w:tc>
          <w:tcPr>
            <w:tcW w:type="dxa" w:w="979"/>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2.72</w:t>
            </w:r>
          </w:p>
        </w:tc>
        <w:tc>
          <w:tcPr>
            <w:tcW w:type="dxa" w:w="144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216.2</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0.279</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C050</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425.53</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3.53</w:t>
            </w:r>
          </w:p>
        </w:tc>
        <w:tc>
          <w:tcPr>
            <w:tcW w:type="dxa" w:w="7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0.704</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0.286</w:t>
            </w:r>
          </w:p>
        </w:tc>
        <w:tc>
          <w:tcPr>
            <w:tcW w:type="dxa" w:w="979"/>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2.46</w:t>
            </w:r>
          </w:p>
        </w:tc>
        <w:tc>
          <w:tcPr>
            <w:tcW w:type="dxa" w:w="144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213.9</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-0.737</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C034</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426.57</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1.62</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0.741</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0.345</w:t>
            </w:r>
          </w:p>
        </w:tc>
        <w:tc>
          <w:tcPr>
            <w:tcW w:type="dxa" w:w="979"/>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2.6</w:t>
            </w:r>
          </w:p>
        </w:tc>
        <w:tc>
          <w:tcPr>
            <w:tcW w:type="dxa" w:w="144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218.1</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0.003</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C019</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412.54</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2.23</w:t>
            </w:r>
          </w:p>
        </w:tc>
        <w:tc>
          <w:tcPr>
            <w:tcW w:type="dxa" w:w="7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0.781</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0.326</w:t>
            </w:r>
          </w:p>
        </w:tc>
        <w:tc>
          <w:tcPr>
            <w:tcW w:type="dxa" w:w="979"/>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30</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2.74</w:t>
            </w:r>
          </w:p>
        </w:tc>
        <w:tc>
          <w:tcPr>
            <w:tcW w:type="dxa" w:w="144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210.4</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-0.239</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C022</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423.57</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1.73</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0.775</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0.286</w:t>
            </w:r>
          </w:p>
        </w:tc>
        <w:tc>
          <w:tcPr>
            <w:tcW w:type="dxa" w:w="979"/>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2.15</w:t>
            </w:r>
          </w:p>
        </w:tc>
        <w:tc>
          <w:tcPr>
            <w:tcW w:type="dxa" w:w="144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209.6</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-0.135</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C032</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451.62</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2.21</w:t>
            </w:r>
          </w:p>
        </w:tc>
        <w:tc>
          <w:tcPr>
            <w:tcW w:type="dxa" w:w="7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0.748</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w:t>
            </w:r>
          </w:p>
        </w:tc>
        <w:tc>
          <w:tcPr>
            <w:tcW w:type="dxa" w:w="979"/>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33</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2.14</w:t>
            </w:r>
          </w:p>
        </w:tc>
        <w:tc>
          <w:tcPr>
            <w:tcW w:type="dxa" w:w="144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209.5</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-0.797</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C065</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418.55</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3.91</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0.65</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0.292</w:t>
            </w:r>
          </w:p>
        </w:tc>
        <w:tc>
          <w:tcPr>
            <w:tcW w:type="dxa" w:w="979"/>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3.0</w:t>
            </w:r>
          </w:p>
        </w:tc>
        <w:tc>
          <w:tcPr>
            <w:tcW w:type="dxa" w:w="144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205.9</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0.173</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C035</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412.49</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w:t>
            </w:r>
          </w:p>
        </w:tc>
        <w:tc>
          <w:tcPr>
            <w:tcW w:type="dxa" w:w="7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0.741</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0.315</w:t>
            </w:r>
          </w:p>
        </w:tc>
        <w:tc>
          <w:tcPr>
            <w:tcW w:type="dxa" w:w="979"/>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30</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2.45</w:t>
            </w:r>
          </w:p>
        </w:tc>
        <w:tc>
          <w:tcPr>
            <w:tcW w:type="dxa" w:w="144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0.0</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204.5</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-0.274</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C055</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450.54</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2.38</w:t>
            </w:r>
          </w:p>
        </w:tc>
        <w:tc>
          <w:tcPr>
            <w:tcW w:type="dxa" w:w="7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0.689</w:t>
            </w:r>
          </w:p>
        </w:tc>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0.287</w:t>
            </w:r>
          </w:p>
        </w:tc>
        <w:tc>
          <w:tcPr>
            <w:tcW w:type="dxa" w:w="979"/>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33</w:t>
            </w:r>
          </w:p>
        </w:tc>
        <w:tc>
          <w:tcPr>
            <w:tcW w:type="dxa" w:w="115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2.59</w:t>
            </w:r>
          </w:p>
        </w:tc>
        <w:tc>
          <w:tcPr>
            <w:tcW w:type="dxa" w:w="144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1.1</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205.1</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-0.572</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C060</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452.56</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2.73</w:t>
            </w:r>
          </w:p>
        </w:tc>
        <w:tc>
          <w:tcPr>
            <w:tcW w:type="dxa" w:w="7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0.666</w:t>
            </w:r>
          </w:p>
        </w:tc>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0.299</w:t>
            </w:r>
          </w:p>
        </w:tc>
        <w:tc>
          <w:tcPr>
            <w:tcW w:type="dxa" w:w="979"/>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33</w:t>
            </w:r>
          </w:p>
        </w:tc>
        <w:tc>
          <w:tcPr>
            <w:tcW w:type="dxa" w:w="115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2.79</w:t>
            </w:r>
          </w:p>
        </w:tc>
        <w:tc>
          <w:tcPr>
            <w:tcW w:type="dxa" w:w="144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206.7</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0.135</w:t>
            </w:r>
          </w:p>
        </w:tc>
      </w:tr>
    </w:tbl>
    <w:p>
      <w:pPr>
        <w:spacing w:after="80"/>
      </w:pPr>
    </w:p>
    <w:p>
      <w:pPr>
        <w:spacing w:after="100"/>
      </w:pPr>
      <w:r>
        <w:rPr>
          <w:rFonts w:ascii="Arial" w:hAnsi="Arial" w:eastAsia="Arial"/>
          <w:b w:val="0"/>
          <w:i w:val="0"/>
          <w:color w:val="212121"/>
          <w:sz w:val="19"/>
        </w:rPr>
        <w:t>Ten candidates pass every gate. They sit at 30 to 33 heavy atoms against 40 for both reference drugs, and reach 92 to 97% of docked gilteritinib's front-pocket burial - roughly 24% more front-pocket burial per heavy atom.</w:t>
      </w:r>
    </w:p>
    <w:p>
      <w:pPr>
        <w:spacing w:before="220" w:after="80"/>
        <w:pBdr>
          <w:left w:val="single" w:sz="18" w:space="8" w:color="00695C"/>
        </w:pBdr>
      </w:pPr>
      <w:r>
        <w:rPr>
          <w:rFonts w:ascii="Arial" w:hAnsi="Arial" w:eastAsia="Arial"/>
          <w:b/>
          <w:i w:val="0"/>
          <w:color w:val="00695C"/>
          <w:sz w:val="21"/>
        </w:rPr>
        <w:t xml:space="preserve">  37.6  Force-Field Confirmation on the Leaders</w:t>
      </w:r>
    </w:p>
    <w:tbl>
      <w:tblPr>
        <w:tblW w:type="auto" w:w="0"/>
        <w:jc w:val="left"/>
        <w:tblLayout w:type="fixed"/>
        <w:tblLook w:firstColumn="1" w:firstRow="1" w:lastColumn="0" w:lastRow="0" w:noHBand="0" w:noVBand="1" w:val="04A0"/>
      </w:tblPr>
      <w:tblGrid>
        <w:gridCol w:w="1246"/>
        <w:gridCol w:w="1246"/>
        <w:gridCol w:w="1246"/>
        <w:gridCol w:w="1246"/>
        <w:gridCol w:w="1246"/>
        <w:gridCol w:w="1246"/>
        <w:gridCol w:w="1246"/>
        <w:gridCol w:w="1246"/>
      </w:tblGrid>
      <w:tr>
        <w:tc>
          <w:tcPr>
            <w:tcW w:type="dxa" w:w="216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ID</w:t>
            </w:r>
          </w:p>
        </w:tc>
        <w:tc>
          <w:tcPr>
            <w:tcW w:type="dxa" w:w="108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Heavy atoms</w:t>
            </w:r>
          </w:p>
        </w:tc>
        <w:tc>
          <w:tcPr>
            <w:tcW w:type="dxa" w:w="893"/>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E_vdw</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E_coul (eps=4r)</w:t>
            </w:r>
          </w:p>
        </w:tc>
        <w:tc>
          <w:tcPr>
            <w:tcW w:type="dxa" w:w="93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E_total</w:t>
            </w:r>
          </w:p>
        </w:tc>
        <w:tc>
          <w:tcPr>
            <w:tcW w:type="dxa" w:w="122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 back pocket</w:t>
            </w:r>
          </w:p>
        </w:tc>
        <w:tc>
          <w:tcPr>
            <w:tcW w:type="dxa" w:w="893"/>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E front</w:t>
            </w:r>
          </w:p>
        </w:tc>
        <w:tc>
          <w:tcPr>
            <w:tcW w:type="dxa" w:w="15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kcal/mol per heavy atom</w:t>
            </w:r>
          </w:p>
        </w:tc>
      </w:tr>
      <w:tr>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C069</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-44.26</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-3.19</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-47.45</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-1.45</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-33.98</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-1.531</w:t>
            </w:r>
          </w:p>
        </w:tc>
      </w:tr>
      <w:tr>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C050</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w:t>
            </w:r>
          </w:p>
        </w:tc>
        <w:tc>
          <w:tcPr>
            <w:tcW w:type="dxa" w:w="893"/>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-44.37</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-1.83</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-46.19</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-1.35</w:t>
            </w:r>
          </w:p>
        </w:tc>
        <w:tc>
          <w:tcPr>
            <w:tcW w:type="dxa" w:w="893"/>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-29.77</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-1.49</w:t>
            </w:r>
          </w:p>
        </w:tc>
      </w:tr>
      <w:tr>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C034</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-46.29</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-5.21</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-51.49</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-1.63</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-35.2</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-1.661</w:t>
            </w:r>
          </w:p>
        </w:tc>
      </w:tr>
      <w:tr>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C019</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30</w:t>
            </w:r>
          </w:p>
        </w:tc>
        <w:tc>
          <w:tcPr>
            <w:tcW w:type="dxa" w:w="893"/>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-47.56</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-4.96</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-52.52</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-2.18</w:t>
            </w:r>
          </w:p>
        </w:tc>
        <w:tc>
          <w:tcPr>
            <w:tcW w:type="dxa" w:w="893"/>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-34.15</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-1.751</w:t>
            </w:r>
          </w:p>
        </w:tc>
      </w:tr>
      <w:tr>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C022</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-44.83</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-3.83</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-48.66</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-1.37</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-33.11</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-1.57</w:t>
            </w:r>
          </w:p>
        </w:tc>
      </w:tr>
      <w:tr>
        <w:tc>
          <w:tcPr>
            <w:tcW w:type="dxa" w:w="216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 (Sec. XXXVI)</w:t>
            </w:r>
          </w:p>
        </w:tc>
        <w:tc>
          <w:tcPr>
            <w:tcW w:type="dxa" w:w="10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40</w:t>
            </w:r>
          </w:p>
        </w:tc>
        <w:tc>
          <w:tcPr>
            <w:tcW w:type="dxa" w:w="893"/>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-48.89</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-6.4</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-55.29</w:t>
            </w:r>
          </w:p>
        </w:tc>
        <w:tc>
          <w:tcPr>
            <w:tcW w:type="dxa" w:w="122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-1.67</w:t>
            </w:r>
          </w:p>
        </w:tc>
        <w:tc>
          <w:tcPr>
            <w:tcW w:type="dxa" w:w="893"/>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-35.61</w:t>
            </w:r>
          </w:p>
        </w:tc>
        <w:tc>
          <w:tcPr>
            <w:tcW w:type="dxa" w:w="15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-1.382</w:t>
            </w:r>
          </w:p>
        </w:tc>
      </w:tr>
      <w:tr>
        <w:tc>
          <w:tcPr>
            <w:tcW w:type="dxa" w:w="216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 (Sec. XXXVI)</w:t>
            </w:r>
          </w:p>
        </w:tc>
        <w:tc>
          <w:tcPr>
            <w:tcW w:type="dxa" w:w="10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40</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-70.73</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-6.45</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-77.18</w:t>
            </w:r>
          </w:p>
        </w:tc>
        <w:tc>
          <w:tcPr>
            <w:tcW w:type="dxa" w:w="122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-16.87</w:t>
            </w:r>
          </w:p>
        </w:tc>
        <w:tc>
          <w:tcPr>
            <w:tcW w:type="dxa" w:w="893"/>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-24.52</w:t>
            </w:r>
          </w:p>
        </w:tc>
        <w:tc>
          <w:tcPr>
            <w:tcW w:type="dxa" w:w="15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-1.93</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E3F2FD"/>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1565C0"/>
                <w:sz w:val="17"/>
              </w:rPr>
              <w:t xml:space="preserve">THE DESIGN RULE, REALISED  </w:t>
            </w:r>
            <w:r>
              <w:rPr>
                <w:rFonts w:ascii="Arial" w:hAnsi="Arial" w:eastAsia="Arial"/>
                <w:b w:val="0"/>
                <w:i w:val="0"/>
                <w:color w:val="212121"/>
                <w:sz w:val="17"/>
              </w:rPr>
              <w:t>The leading candidate returns -1.751 kcal/mol per heavy atom against gilteritinib's -1.382 and quizartinib's -1.930 - 27% better than the type I reference and within 9% of the type II reference, while holding back-pocket energy at -2.18 against quizartinib's -16.87. Front-pocket energy of -29.8 to -35.2 matches gilteritinib's -35.61 and exceeds quizartinib's -24.52. This is precisely the trade the revised guidance in 36.3 specified: comparable engagement, placed where it creates no conformational dependence.</w:t>
            </w:r>
          </w:p>
        </w:tc>
      </w:tr>
    </w:tbl>
    <w:p>
      <w:pPr>
        <w:spacing w:after="60"/>
      </w:pP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AND A POSE THE STRUCTURAL GATES COULD NOT SEE  </w:t>
            </w:r>
            <w:r>
              <w:rPr>
                <w:rFonts w:ascii="Arial" w:hAnsi="Arial" w:eastAsia="Arial"/>
                <w:b w:val="0"/>
                <w:i w:val="0"/>
                <w:color w:val="212121"/>
                <w:sz w:val="17"/>
              </w:rPr>
              <w:t>One of the six leaders failed the force-field step with a total of +413.77 kcal/mol, traced to a 1.35 angstrom heavy-atom contact with Tyr693. That pose had passed all three structural gates, because burial metrics are blind to steric overlap - two atoms occupying the same space bury each other's surface perfectly well. A clash screen was added as a consequence. Of the six candidates where both were computed, the cheap geometric screen and the expensive energy calculation agree completely.</w:t>
            </w:r>
          </w:p>
        </w:tc>
      </w:tr>
    </w:tbl>
    <w:p>
      <w:pPr>
        <w:spacing w:after="60"/>
      </w:pPr>
    </w:p>
    <w:p>
      <w:pPr>
        <w:spacing w:before="220" w:after="80"/>
        <w:pBdr>
          <w:left w:val="single" w:sz="18" w:space="8" w:color="00695C"/>
        </w:pBdr>
      </w:pPr>
      <w:r>
        <w:rPr>
          <w:rFonts w:ascii="Arial" w:hAnsi="Arial" w:eastAsia="Arial"/>
          <w:b/>
          <w:i w:val="0"/>
          <w:color w:val="00695C"/>
          <w:sz w:val="21"/>
        </w:rPr>
        <w:t xml:space="preserve">  37.7  What These Molecules Are, and What They Are Not</w:t>
      </w:r>
    </w:p>
    <w:p>
      <w:pPr>
        <w:spacing w:after="100"/>
      </w:pPr>
      <w:r>
        <w:rPr>
          <w:rFonts w:ascii="Arial" w:hAnsi="Arial" w:eastAsia="Arial"/>
          <w:b w:val="0"/>
          <w:i w:val="0"/>
          <w:color w:val="212121"/>
          <w:sz w:val="19"/>
        </w:rPr>
        <w:t>Stated plainly, because the preceding volumes stated that no chemical matter was proposed and that is no longer true:</w:t>
      </w:r>
    </w:p>
    <w:tbl>
      <w:tblPr>
        <w:tblW w:type="auto" w:w="0"/>
        <w:jc w:val="left"/>
        <w:tblLayout w:type="fixed"/>
        <w:tblLook w:firstColumn="1" w:firstRow="1" w:lastColumn="0" w:lastRow="0" w:noHBand="0" w:noVBand="1" w:val="04A0"/>
      </w:tblPr>
      <w:tblGrid>
        <w:gridCol w:w="4986"/>
        <w:gridCol w:w="4986"/>
      </w:tblGrid>
      <w:tr>
        <w:tc>
          <w:tcPr>
            <w:tcW w:type="dxa" w:w="25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Limit</w:t>
            </w:r>
          </w:p>
        </w:tc>
        <w:tc>
          <w:tcPr>
            <w:tcW w:type="dxa" w:w="698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Consequence</w:t>
            </w:r>
          </w:p>
        </w:tc>
      </w:tr>
      <w:tr>
        <w:tc>
          <w:tcPr>
            <w:tcW w:type="dxa" w:w="25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Generation was not activity-guided</w:t>
            </w:r>
          </w:p>
        </w:tc>
        <w:tc>
          <w:tcPr>
            <w:tcW w:type="dxa" w:w="69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MolMIM optimised a generic drug-likeness score, not FLT3 inhibition. These are chemotype-space hypotheses that satisfy a structural criterion; nothing here predicts that any of them binds FLT3.</w:t>
            </w:r>
          </w:p>
        </w:tc>
      </w:tr>
      <w:tr>
        <w:tc>
          <w:tcPr>
            <w:tcW w:type="dxa" w:w="25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Poses are predictions, not structures</w:t>
            </w:r>
          </w:p>
        </w:tc>
        <w:tc>
          <w:tcPr>
            <w:tcW w:type="dxa" w:w="69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The production case is the weaker control - type I pose recovery was 2.3 to 3.1 angstroms RMSD. Every burial number and every interaction energy inherits that uncertainty. The criterion was shown to survive it; individual values were not.</w:t>
            </w:r>
          </w:p>
        </w:tc>
      </w:tr>
      <w:tr>
        <w:tc>
          <w:tcPr>
            <w:tcW w:type="dxa" w:w="25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No affinity was computed</w:t>
            </w:r>
          </w:p>
        </w:tc>
        <w:tc>
          <w:tcPr>
            <w:tcW w:type="dxa" w:w="69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DiffDock scores geometry. The ranking is structural, not energetic, and the interaction energies in 37.6 are single-structure values with no desolvation or entropy - valid for comparison within this set, invalid as affinity predictions.</w:t>
            </w:r>
          </w:p>
        </w:tc>
      </w:tr>
      <w:tr>
        <w:tc>
          <w:tcPr>
            <w:tcW w:type="dxa" w:w="25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No synthesisability assessment</w:t>
            </w:r>
          </w:p>
        </w:tc>
        <w:tc>
          <w:tcPr>
            <w:tcW w:type="dxa" w:w="698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Nothing in this pipeline asks whether a molecule can be made. These are starting points for a medicinal chemist to accept or reject, not a synthesis list.</w:t>
            </w:r>
          </w:p>
        </w:tc>
      </w:tr>
      <w:tr>
        <w:tc>
          <w:tcPr>
            <w:tcW w:type="dxa" w:w="25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No mutant testing</w:t>
            </w:r>
          </w:p>
        </w:tc>
        <w:tc>
          <w:tcPr>
            <w:tcW w:type="dxa" w:w="698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The whole point of a type I scaffold is retained potency against D835 and F691L variants, and that requires the free-energy calculations specified in 36.5. Until those run, conformational selectivity is inferred from burial geometry, not demonstrated.</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RESEARCH USE ONLY  </w:t>
            </w:r>
            <w:r>
              <w:rPr>
                <w:rFonts w:ascii="Arial" w:hAnsi="Arial" w:eastAsia="Arial"/>
                <w:b w:val="0"/>
                <w:i w:val="0"/>
                <w:color w:val="212121"/>
                <w:sz w:val="17"/>
              </w:rPr>
              <w:t>The structures in this section are computational hypotheses generated and scored in silico. They have not been synthesised, assayed, or assessed for selectivity, ADMET or safety, and no claim is made about their activity, developability or utility. Nothing here is a treatment, a clinical candidate, or clinical guidance of any kind.</w:t>
            </w:r>
          </w:p>
        </w:tc>
      </w:tr>
    </w:tbl>
    <w:p>
      <w:pPr>
        <w:spacing w:after="60"/>
      </w:pPr>
    </w:p>
    <w:p>
      <w:pPr>
        <w:shd w:val="clear" w:color="auto" w:fill="0D1B2A"/>
        <w:spacing w:before="280" w:after="160"/>
      </w:pPr>
      <w:r>
        <w:rPr>
          <w:rFonts w:ascii="Arial" w:hAnsi="Arial" w:eastAsia="Arial"/>
          <w:b/>
          <w:i w:val="0"/>
          <w:color w:val="FFFFFF"/>
          <w:sz w:val="23"/>
        </w:rPr>
        <w:t xml:space="preserve">  APPENDIX A.   FLT3 STRUCTURES USED</w:t>
      </w:r>
    </w:p>
    <w:p>
      <w:pPr>
        <w:spacing w:after="100"/>
      </w:pPr>
      <w:r>
        <w:rPr>
          <w:rFonts w:ascii="Arial" w:hAnsi="Arial" w:eastAsia="Arial"/>
          <w:b w:val="0"/>
          <w:i w:val="0"/>
          <w:color w:val="212121"/>
          <w:sz w:val="19"/>
        </w:rPr>
        <w:t>All FLT3 entries in the PDB carrying UniProt accession P36888, retrieved programmatically. The three inhibitor co-complexes marked below carry the contact analysis in Section 30.1.</w:t>
      </w:r>
    </w:p>
    <w:tbl>
      <w:tblPr>
        <w:tblW w:type="auto" w:w="0"/>
        <w:jc w:val="left"/>
        <w:tblLayout w:type="fixed"/>
        <w:tblLook w:firstColumn="1" w:firstRow="1" w:lastColumn="0" w:lastRow="0" w:noHBand="0" w:noVBand="1" w:val="04A0"/>
      </w:tblPr>
      <w:tblGrid>
        <w:gridCol w:w="1994"/>
        <w:gridCol w:w="1994"/>
        <w:gridCol w:w="1994"/>
        <w:gridCol w:w="1994"/>
        <w:gridCol w:w="1994"/>
      </w:tblGrid>
      <w:tr>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PDB</w:t>
            </w:r>
          </w:p>
        </w:tc>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Year</w:t>
            </w:r>
          </w:p>
        </w:tc>
        <w:tc>
          <w:tcPr>
            <w:tcW w:type="dxa" w:w="93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Res. (A)</w:t>
            </w:r>
          </w:p>
        </w:tc>
        <w:tc>
          <w:tcPr>
            <w:tcW w:type="dxa" w:w="244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Principal ligand</w:t>
            </w:r>
          </w:p>
        </w:tc>
        <w:tc>
          <w:tcPr>
            <w:tcW w:type="dxa" w:w="468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Title</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1RJB</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2004</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w:t>
            </w:r>
          </w:p>
        </w:tc>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(apo)</w:t>
            </w:r>
          </w:p>
        </w:tc>
        <w:tc>
          <w:tcPr>
            <w:tcW w:type="dxa" w:w="46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Crystal Structure of FLT3</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3QS7</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2011</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4.3</w:t>
            </w:r>
          </w:p>
        </w:tc>
        <w:tc>
          <w:tcPr>
            <w:tcW w:type="dxa" w:w="24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NAG:2-acetamido-2-deoxy-be</w:t>
            </w:r>
          </w:p>
        </w:tc>
        <w:tc>
          <w:tcPr>
            <w:tcW w:type="dxa" w:w="46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 xml:space="preserve">Crystal structure of a human Flt3 ligand-receptor ternary </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3QS9</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2011</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7.8</w:t>
            </w:r>
          </w:p>
        </w:tc>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(apo)</w:t>
            </w:r>
          </w:p>
        </w:tc>
        <w:tc>
          <w:tcPr>
            <w:tcW w:type="dxa" w:w="46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 xml:space="preserve">Crystal structure of a human Flt3 ligand-receptor ternary </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4RT7</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2015</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3.1</w:t>
            </w:r>
          </w:p>
        </w:tc>
        <w:tc>
          <w:tcPr>
            <w:tcW w:type="dxa" w:w="24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P30:1-(5-tert-butyl-1,2-ox</w:t>
            </w:r>
          </w:p>
        </w:tc>
        <w:tc>
          <w:tcPr>
            <w:tcW w:type="dxa" w:w="46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Crystal Structure of FLT3 with a small molecule inhibitor</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4XUF</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2015</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3.2</w:t>
            </w:r>
          </w:p>
        </w:tc>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P30:1-(5-tert-butyl-1,2-ox</w:t>
            </w:r>
          </w:p>
        </w:tc>
        <w:tc>
          <w:tcPr>
            <w:tcW w:type="dxa" w:w="46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Crystal structure of the FLT3 kinase domain bound to the i</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5X02</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2018</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2.401</w:t>
            </w:r>
          </w:p>
        </w:tc>
        <w:tc>
          <w:tcPr>
            <w:tcW w:type="dxa" w:w="24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F6M:N-[(2S)-1-[5-[2-[(4-cy</w:t>
            </w:r>
          </w:p>
        </w:tc>
        <w:tc>
          <w:tcPr>
            <w:tcW w:type="dxa" w:w="46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Crystal structure of the FLT3 kinase domain bound to the i</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6IL3</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2018</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2.5</w:t>
            </w:r>
          </w:p>
        </w:tc>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A9R:7-methoxy-6-(1-methyl-</w:t>
            </w:r>
          </w:p>
        </w:tc>
        <w:tc>
          <w:tcPr>
            <w:tcW w:type="dxa" w:w="46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Crystal structure of the FLT3 kinase bound to a small mole</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6JQR</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2019</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2.2</w:t>
            </w:r>
          </w:p>
        </w:tc>
        <w:tc>
          <w:tcPr>
            <w:tcW w:type="dxa" w:w="24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C6F:6-ethyl-3-[[3-methoxy-</w:t>
            </w:r>
          </w:p>
        </w:tc>
        <w:tc>
          <w:tcPr>
            <w:tcW w:type="dxa" w:w="46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Crystal structure of FLT3 in complex with gilteritinib</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7QDP</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2022</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3.691</w:t>
            </w:r>
          </w:p>
        </w:tc>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NAG:2-acetamido-2-deoxy-be</w:t>
            </w:r>
          </w:p>
        </w:tc>
        <w:tc>
          <w:tcPr>
            <w:tcW w:type="dxa" w:w="46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Crystal structure of FLT3 T343I in complex with the canoni</w:t>
            </w:r>
          </w:p>
        </w:tc>
      </w:tr>
      <w:tr>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7ZV9</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2023</w:t>
            </w:r>
          </w:p>
        </w:tc>
        <w:tc>
          <w:tcPr>
            <w:tcW w:type="dxa" w:w="93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4.507</w:t>
            </w:r>
          </w:p>
        </w:tc>
        <w:tc>
          <w:tcPr>
            <w:tcW w:type="dxa" w:w="24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NAG:2-acetamido-2-deoxy-be</w:t>
            </w:r>
          </w:p>
        </w:tc>
        <w:tc>
          <w:tcPr>
            <w:tcW w:type="dxa" w:w="468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Crystal structure of FLT3 in complex with a monomeric FLT3</w:t>
            </w:r>
          </w:p>
        </w:tc>
      </w:tr>
      <w:tr>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8XB1</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2024</w:t>
            </w:r>
          </w:p>
        </w:tc>
        <w:tc>
          <w:tcPr>
            <w:tcW w:type="dxa" w:w="93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2.85</w:t>
            </w:r>
          </w:p>
        </w:tc>
        <w:tc>
          <w:tcPr>
            <w:tcW w:type="dxa" w:w="24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ZX3:3^3-ethyl-5^4-morpholi</w:t>
            </w:r>
          </w:p>
        </w:tc>
        <w:tc>
          <w:tcPr>
            <w:tcW w:type="dxa" w:w="468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Crystal structure of FLT3 in complex with a Pyrazinamide M</w:t>
            </w:r>
          </w:p>
        </w:tc>
      </w:tr>
    </w:tbl>
    <w:p>
      <w:pPr>
        <w:spacing w:after="80"/>
      </w:pPr>
    </w:p>
    <w:p>
      <w:pPr>
        <w:shd w:val="clear" w:color="auto" w:fill="0D1B2A"/>
        <w:spacing w:before="280" w:after="160"/>
      </w:pPr>
      <w:r>
        <w:rPr>
          <w:rFonts w:ascii="Arial" w:hAnsi="Arial" w:eastAsia="Arial"/>
          <w:b/>
          <w:i w:val="0"/>
          <w:color w:val="FFFFFF"/>
          <w:sz w:val="23"/>
        </w:rPr>
        <w:t xml:space="preserve">  APPENDIX B.   CALCULATED PROPERTIES OF THE PRECEDENTED AGENTS</w:t>
      </w:r>
    </w:p>
    <w:p>
      <w:pPr>
        <w:spacing w:after="100"/>
      </w:pPr>
      <w:r>
        <w:rPr>
          <w:rFonts w:ascii="Arial" w:hAnsi="Arial" w:eastAsia="Arial"/>
          <w:b w:val="0"/>
          <w:i w:val="0"/>
          <w:color w:val="212121"/>
          <w:sz w:val="19"/>
        </w:rPr>
        <w:t>Computed descriptors for the ten agents retrieved, with ligand efficiency and lipophilic ligand efficiency derived against the FLT3-ITD potency in Section 30.2. The property split between the classes is the developability argument in Section 34.1: mean ALogP 3.87 for type I against 5.23 for type II.</w:t>
      </w:r>
    </w:p>
    <w:tbl>
      <w:tblPr>
        <w:tblW w:type="auto" w:w="0"/>
        <w:jc w:val="left"/>
        <w:tblLayout w:type="fixed"/>
        <w:tblLook w:firstColumn="1" w:firstRow="1" w:lastColumn="0" w:lastRow="0" w:noHBand="0" w:noVBand="1" w:val="04A0"/>
      </w:tblPr>
      <w:tblGrid>
        <w:gridCol w:w="997"/>
        <w:gridCol w:w="997"/>
        <w:gridCol w:w="997"/>
        <w:gridCol w:w="997"/>
        <w:gridCol w:w="997"/>
        <w:gridCol w:w="997"/>
        <w:gridCol w:w="997"/>
        <w:gridCol w:w="997"/>
        <w:gridCol w:w="997"/>
        <w:gridCol w:w="997"/>
      </w:tblGrid>
      <w:tr>
        <w:tc>
          <w:tcPr>
            <w:tcW w:type="dxa" w:w="1656"/>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Agent</w:t>
            </w:r>
          </w:p>
        </w:tc>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Class</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MW</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ALogP</w:t>
            </w:r>
          </w:p>
        </w:tc>
        <w:tc>
          <w:tcPr>
            <w:tcW w:type="dxa" w:w="864"/>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PSA</w:t>
            </w:r>
          </w:p>
        </w:tc>
        <w:tc>
          <w:tcPr>
            <w:tcW w:type="dxa" w:w="64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RTB</w:t>
            </w:r>
          </w:p>
        </w:tc>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QED</w:t>
            </w:r>
          </w:p>
        </w:tc>
        <w:tc>
          <w:tcPr>
            <w:tcW w:type="dxa" w:w="605"/>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Ro5</w:t>
            </w:r>
          </w:p>
        </w:tc>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LE</w:t>
            </w:r>
          </w:p>
        </w:tc>
        <w:tc>
          <w:tcPr>
            <w:tcW w:type="dxa" w:w="720"/>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LLE</w:t>
            </w:r>
          </w:p>
        </w:tc>
      </w:tr>
      <w:tr>
        <w:tc>
          <w:tcPr>
            <w:tcW w:type="dxa" w:w="165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crenolanib</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443.6</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3.92</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78.43</w:t>
            </w:r>
          </w:p>
        </w:tc>
        <w:tc>
          <w:tcPr>
            <w:tcW w:type="dxa" w:w="6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0.5</w:t>
            </w:r>
          </w:p>
        </w:tc>
        <w:tc>
          <w:tcPr>
            <w:tcW w:type="dxa" w:w="605"/>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0.369</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4.97</w:t>
            </w:r>
          </w:p>
        </w:tc>
      </w:tr>
      <w:tr>
        <w:tc>
          <w:tcPr>
            <w:tcW w:type="dxa" w:w="165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552.7</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2.7</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121.11</w:t>
            </w:r>
          </w:p>
        </w:tc>
        <w:tc>
          <w:tcPr>
            <w:tcW w:type="dxa" w:w="6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0.43</w:t>
            </w:r>
          </w:p>
        </w:tc>
        <w:tc>
          <w:tcPr>
            <w:tcW w:type="dxa" w:w="605"/>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6.04</w:t>
            </w:r>
          </w:p>
        </w:tc>
      </w:tr>
      <w:tr>
        <w:tc>
          <w:tcPr>
            <w:tcW w:type="dxa" w:w="165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lestaurtinib</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439.5</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3.47</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88.65</w:t>
            </w:r>
          </w:p>
        </w:tc>
        <w:tc>
          <w:tcPr>
            <w:tcW w:type="dxa" w:w="6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0.37</w:t>
            </w:r>
          </w:p>
        </w:tc>
        <w:tc>
          <w:tcPr>
            <w:tcW w:type="dxa" w:w="605"/>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0.366</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5.35</w:t>
            </w:r>
          </w:p>
        </w:tc>
      </w:tr>
      <w:tr>
        <w:tc>
          <w:tcPr>
            <w:tcW w:type="dxa" w:w="165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midostaurin</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570.6</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5.91</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77.73</w:t>
            </w:r>
          </w:p>
        </w:tc>
        <w:tc>
          <w:tcPr>
            <w:tcW w:type="dxa" w:w="6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0.29</w:t>
            </w:r>
          </w:p>
        </w:tc>
        <w:tc>
          <w:tcPr>
            <w:tcW w:type="dxa" w:w="605"/>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0.254</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2.05</w:t>
            </w:r>
          </w:p>
        </w:tc>
      </w:tr>
      <w:tr>
        <w:tc>
          <w:tcPr>
            <w:tcW w:type="dxa" w:w="165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sunitinib</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398.5</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3.33</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77.23</w:t>
            </w:r>
          </w:p>
        </w:tc>
        <w:tc>
          <w:tcPr>
            <w:tcW w:type="dxa" w:w="6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0.63</w:t>
            </w:r>
          </w:p>
        </w:tc>
        <w:tc>
          <w:tcPr>
            <w:tcW w:type="dxa" w:w="605"/>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0.392</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4.97</w:t>
            </w:r>
          </w:p>
        </w:tc>
      </w:tr>
      <w:tr>
        <w:tc>
          <w:tcPr>
            <w:tcW w:type="dxa" w:w="165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pexidartinib</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II</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417.8</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5.23</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66.49</w:t>
            </w:r>
          </w:p>
        </w:tc>
        <w:tc>
          <w:tcPr>
            <w:tcW w:type="dxa" w:w="6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0.47</w:t>
            </w:r>
          </w:p>
        </w:tc>
        <w:tc>
          <w:tcPr>
            <w:tcW w:type="dxa" w:w="605"/>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0.366</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2.51</w:t>
            </w:r>
          </w:p>
        </w:tc>
      </w:tr>
      <w:tr>
        <w:tc>
          <w:tcPr>
            <w:tcW w:type="dxa" w:w="165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ponatinib</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II</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532.6</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4.46</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65.77</w:t>
            </w:r>
          </w:p>
        </w:tc>
        <w:tc>
          <w:tcPr>
            <w:tcW w:type="dxa" w:w="6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0.39</w:t>
            </w:r>
          </w:p>
        </w:tc>
        <w:tc>
          <w:tcPr>
            <w:tcW w:type="dxa" w:w="605"/>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w:t>
            </w:r>
          </w:p>
        </w:tc>
      </w:tr>
      <w:tr>
        <w:tc>
          <w:tcPr>
            <w:tcW w:type="dxa" w:w="165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quizartinib</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II</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560.7</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5.86</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106.16</w:t>
            </w:r>
          </w:p>
        </w:tc>
        <w:tc>
          <w:tcPr>
            <w:tcW w:type="dxa" w:w="6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7</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0.26</w:t>
            </w:r>
          </w:p>
        </w:tc>
        <w:tc>
          <w:tcPr>
            <w:tcW w:type="dxa" w:w="605"/>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0.293</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2.69</w:t>
            </w:r>
          </w:p>
        </w:tc>
      </w:tr>
      <w:tr>
        <w:tc>
          <w:tcPr>
            <w:tcW w:type="dxa" w:w="1656"/>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sorafenib</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II</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464.8</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5.55</w:t>
            </w:r>
          </w:p>
        </w:tc>
        <w:tc>
          <w:tcPr>
            <w:tcW w:type="dxa" w:w="864"/>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92.35</w:t>
            </w:r>
          </w:p>
        </w:tc>
        <w:tc>
          <w:tcPr>
            <w:tcW w:type="dxa" w:w="64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0.46</w:t>
            </w:r>
          </w:p>
        </w:tc>
        <w:tc>
          <w:tcPr>
            <w:tcW w:type="dxa" w:w="605"/>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0.33</w:t>
            </w:r>
          </w:p>
        </w:tc>
        <w:tc>
          <w:tcPr>
            <w:tcW w:type="dxa" w:w="720"/>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2.15</w:t>
            </w:r>
          </w:p>
        </w:tc>
      </w:tr>
      <w:tr>
        <w:tc>
          <w:tcPr>
            <w:tcW w:type="dxa" w:w="1656"/>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tandutinib</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II</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562.7</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5.03</w:t>
            </w:r>
          </w:p>
        </w:tc>
        <w:tc>
          <w:tcPr>
            <w:tcW w:type="dxa" w:w="864"/>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92.29</w:t>
            </w:r>
          </w:p>
        </w:tc>
        <w:tc>
          <w:tcPr>
            <w:tcW w:type="dxa" w:w="64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10</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0.34</w:t>
            </w:r>
          </w:p>
        </w:tc>
        <w:tc>
          <w:tcPr>
            <w:tcW w:type="dxa" w:w="605"/>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0.257</w:t>
            </w:r>
          </w:p>
        </w:tc>
        <w:tc>
          <w:tcPr>
            <w:tcW w:type="dxa" w:w="720"/>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2.65</w:t>
            </w:r>
          </w:p>
        </w:tc>
      </w:tr>
    </w:tbl>
    <w:p>
      <w:pPr>
        <w:spacing w:after="80"/>
      </w:pPr>
    </w:p>
    <w:p>
      <w:pPr>
        <w:shd w:val="clear" w:color="auto" w:fill="0D1B2A"/>
        <w:spacing w:before="280" w:after="160"/>
      </w:pPr>
      <w:r>
        <w:rPr>
          <w:rFonts w:ascii="Arial" w:hAnsi="Arial" w:eastAsia="Arial"/>
          <w:b/>
          <w:i w:val="0"/>
          <w:color w:val="FFFFFF"/>
          <w:sz w:val="23"/>
        </w:rPr>
        <w:t xml:space="preserve">  APPENDIX C.   VERIFIED PRIMARY REFERENCES</w:t>
      </w:r>
    </w:p>
    <w:p>
      <w:pPr>
        <w:spacing w:after="100"/>
      </w:pPr>
      <w:r>
        <w:rPr>
          <w:rFonts w:ascii="Arial" w:hAnsi="Arial" w:eastAsia="Arial"/>
          <w:b w:val="0"/>
          <w:i w:val="0"/>
          <w:color w:val="212121"/>
          <w:sz w:val="19"/>
        </w:rPr>
        <w:t>Every reference below was resolved through CrossRef and PubMed and then reverse-validated: the identifier was re-resolved and the returned title checked against the expected title. None is quoted from memory.</w:t>
      </w:r>
    </w:p>
    <w:tbl>
      <w:tblPr>
        <w:tblW w:type="auto" w:w="0"/>
        <w:tblLook w:firstColumn="1" w:firstRow="1" w:lastColumn="0" w:lastRow="0" w:noHBand="0" w:noVBand="1" w:val="04A0"/>
      </w:tblPr>
      <w:tblGrid>
        <w:gridCol w:w="9972"/>
      </w:tblGrid>
      <w:tr>
        <w:tc>
          <w:tcPr>
            <w:tcW w:type="dxa" w:w="9504"/>
            <w:shd w:val="clear" w:color="auto" w:fill="FFF8E1"/>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8B6914"/>
                <w:sz w:val="17"/>
              </w:rPr>
              <w:t xml:space="preserve">TWO THINGS THE VALIDATION CAUGHT  </w:t>
            </w:r>
            <w:r>
              <w:rPr>
                <w:rFonts w:ascii="Arial" w:hAnsi="Arial" w:eastAsia="Arial"/>
                <w:b w:val="0"/>
                <w:i w:val="0"/>
                <w:color w:val="212121"/>
                <w:sz w:val="17"/>
              </w:rPr>
              <w:t>The registration-trial citation for gilteritinib first resolved to an erratum notice carrying the parent article's title and a single-page range, and the BeatAML 2018 citation first resolved to a trade-press news item. Both were rejected on reverse lookup and re-resolved to the primary articles. Errata inherit the original title, so a title-similarity check alone does not catch them - the page range and the DOI pattern do.</w:t>
            </w:r>
          </w:p>
        </w:tc>
      </w:tr>
    </w:tbl>
    <w:p>
      <w:pPr>
        <w:spacing w:after="60"/>
      </w:pPr>
    </w:p>
    <w:tbl>
      <w:tblPr>
        <w:tblW w:type="auto" w:w="0"/>
        <w:jc w:val="left"/>
        <w:tblLayout w:type="fixed"/>
        <w:tblLook w:firstColumn="1" w:firstRow="1" w:lastColumn="0" w:lastRow="0" w:noHBand="0" w:noVBand="1" w:val="04A0"/>
      </w:tblPr>
      <w:tblGrid>
        <w:gridCol w:w="3324"/>
        <w:gridCol w:w="3324"/>
        <w:gridCol w:w="3324"/>
      </w:tblGrid>
      <w:tr>
        <w:tc>
          <w:tcPr>
            <w:tcW w:type="dxa" w:w="13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Key</w:t>
            </w:r>
          </w:p>
        </w:tc>
        <w:tc>
          <w:tcPr>
            <w:tcW w:type="dxa" w:w="49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Citation</w:t>
            </w:r>
          </w:p>
        </w:tc>
        <w:tc>
          <w:tcPr>
            <w:tcW w:type="dxa" w:w="3168"/>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How it was verified</w:t>
            </w:r>
          </w:p>
        </w:tc>
      </w:tr>
      <w:tr>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nakao_itd</w:t>
            </w:r>
          </w:p>
        </w:tc>
        <w:tc>
          <w:tcPr>
            <w:tcW w:type="dxa" w:w="49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Nakao M et al. Leukemia 1996;10:1911-8. doi:PMID:8946930</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pubmed PMID lookup, title confirmed (no DOI registered)</w:t>
            </w:r>
          </w:p>
        </w:tc>
      </w:tr>
      <w:tr>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ratify</w:t>
            </w:r>
          </w:p>
        </w:tc>
        <w:tc>
          <w:tcPr>
            <w:tcW w:type="dxa" w:w="49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Stone R et al. New England Journal of Medicine 2017;377:454-464. doi:10.1056/nejmoa1614359</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w:t>
            </w:r>
          </w:p>
        </w:tc>
      </w:tr>
      <w:tr>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admiral</w:t>
            </w:r>
          </w:p>
        </w:tc>
        <w:tc>
          <w:tcPr>
            <w:tcW w:type="dxa" w:w="49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Perl A et al. New England Journal of Medicine 2019;381:1728-1740. doi:10.1056/nejmoa1902688</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 (candidate DOI confirmed)</w:t>
            </w:r>
          </w:p>
        </w:tc>
      </w:tr>
      <w:tr>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quantum_first</w:t>
            </w:r>
          </w:p>
        </w:tc>
        <w:tc>
          <w:tcPr>
            <w:tcW w:type="dxa" w:w="49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Erba H et al. The Lancet 2023;401:1571-1583. doi:10.1016/s0140-6736(23)00464-6</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w:t>
            </w:r>
          </w:p>
        </w:tc>
      </w:tr>
      <w:tr>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smith_ac220</w:t>
            </w:r>
          </w:p>
        </w:tc>
        <w:tc>
          <w:tcPr>
            <w:tcW w:type="dxa" w:w="49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Smith C et al. Nature 2012;485:260-263. doi:10.1038/nature11016</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w:t>
            </w:r>
          </w:p>
        </w:tc>
      </w:tr>
      <w:tr>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smith_al_res</w:t>
            </w:r>
          </w:p>
        </w:tc>
        <w:tc>
          <w:tcPr>
            <w:tcW w:type="dxa" w:w="49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Smith C et al. Blood 2013;121:3165-3171. doi:10.1182/blood-2012-07-442871</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w:t>
            </w:r>
          </w:p>
        </w:tc>
      </w:tr>
      <w:tr>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zarrinkar</w:t>
            </w:r>
          </w:p>
        </w:tc>
        <w:tc>
          <w:tcPr>
            <w:tcW w:type="dxa" w:w="49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Zarrinkar P et al. Blood 2009;114:2984-2992. doi:10.1182/blood-2009-05-222034</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w:t>
            </w:r>
          </w:p>
        </w:tc>
      </w:tr>
      <w:tr>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zorn_4xuf</w:t>
            </w:r>
          </w:p>
        </w:tc>
        <w:tc>
          <w:tcPr>
            <w:tcW w:type="dxa" w:w="49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Zorn J et al. Worldwide Protein Data Bank 2015. doi:10.2210/pdb4xuf/pdb</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  [PDB structure deposition, not a journal</w:t>
            </w:r>
          </w:p>
        </w:tc>
      </w:tr>
      <w:tr>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ff10101</w:t>
            </w:r>
          </w:p>
        </w:tc>
        <w:tc>
          <w:tcPr>
            <w:tcW w:type="dxa" w:w="49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Yamaura T et al. Blood 2018;131:426-438. doi:10.1182/blood-2017-05-786657</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 (candidate DOI confirmed)</w:t>
            </w:r>
          </w:p>
        </w:tc>
      </w:tr>
      <w:tr>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levis_pia</w:t>
            </w:r>
          </w:p>
        </w:tc>
        <w:tc>
          <w:tcPr>
            <w:tcW w:type="dxa" w:w="49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Levis M et al. Blood 2006;108:3477-3483. doi:10.1182/blood-2006-04-015743</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w:t>
            </w:r>
          </w:p>
        </w:tc>
      </w:tr>
      <w:tr>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eln2022</w:t>
            </w:r>
          </w:p>
        </w:tc>
        <w:tc>
          <w:tcPr>
            <w:tcW w:type="dxa" w:w="49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Döhner H et al. Blood 2022;140:1345-1377. doi:10.1182/blood.2022016867</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w:t>
            </w:r>
          </w:p>
        </w:tc>
      </w:tr>
      <w:tr>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beataml2018</w:t>
            </w:r>
          </w:p>
        </w:tc>
        <w:tc>
          <w:tcPr>
            <w:tcW w:type="dxa" w:w="49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Tyner J et al. Nature 2018;562:526-531. doi:10.1038/s41586-018-0623-z</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 (candidate DOI confirmed)</w:t>
            </w:r>
          </w:p>
        </w:tc>
      </w:tr>
      <w:tr>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beataml2022</w:t>
            </w:r>
          </w:p>
        </w:tc>
        <w:tc>
          <w:tcPr>
            <w:tcW w:type="dxa" w:w="49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Bottomly D et al. Cancer Cell 2022;40:850-864.e9. doi:10.1016/j.ccell.2022.07.002</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 (candidate DOI confirmed)</w:t>
            </w:r>
          </w:p>
        </w:tc>
      </w:tr>
      <w:tr>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gilteritinib_pc</w:t>
            </w:r>
          </w:p>
        </w:tc>
        <w:tc>
          <w:tcPr>
            <w:tcW w:type="dxa" w:w="49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Mori M et al. Investigational New Drugs 2017;35:556-565. doi:10.1007/s10637-017-0470-z</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w:t>
            </w:r>
          </w:p>
        </w:tc>
      </w:tr>
      <w:tr>
        <w:tc>
          <w:tcPr>
            <w:tcW w:type="dxa" w:w="13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crenolanib</w:t>
            </w:r>
          </w:p>
        </w:tc>
        <w:tc>
          <w:tcPr>
            <w:tcW w:type="dxa" w:w="49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Smith C et al. Proceedings of the National Academy of Sciences 2014;111:5319-5324. doi:10.1073/pnas.1320661111</w:t>
            </w:r>
          </w:p>
        </w:tc>
        <w:tc>
          <w:tcPr>
            <w:tcW w:type="dxa" w:w="3168"/>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doi-reverse-lookup</w:t>
            </w:r>
          </w:p>
        </w:tc>
      </w:tr>
      <w:tr>
        <w:tc>
          <w:tcPr>
            <w:tcW w:type="dxa" w:w="13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kiyoi_ar</w:t>
            </w:r>
          </w:p>
        </w:tc>
        <w:tc>
          <w:tcPr>
            <w:tcW w:type="dxa" w:w="49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Kiyoi H et al. Blood 1999;93:3074-80. doi:PMID:10216104</w:t>
            </w:r>
          </w:p>
        </w:tc>
        <w:tc>
          <w:tcPr>
            <w:tcW w:type="dxa" w:w="3168"/>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pubmed-title (no DOI registered)</w:t>
            </w:r>
          </w:p>
        </w:tc>
      </w:tr>
    </w:tbl>
    <w:p>
      <w:pPr>
        <w:spacing w:after="80"/>
      </w:pPr>
    </w:p>
    <w:p>
      <w:pPr>
        <w:shd w:val="clear" w:color="auto" w:fill="0D1B2A"/>
        <w:spacing w:before="280" w:after="160"/>
      </w:pPr>
      <w:r>
        <w:rPr>
          <w:rFonts w:ascii="Arial" w:hAnsi="Arial" w:eastAsia="Arial"/>
          <w:b/>
          <w:i w:val="0"/>
          <w:color w:val="FFFFFF"/>
          <w:sz w:val="23"/>
        </w:rPr>
        <w:t xml:space="preserve">  COMPANION DOCUMENTS</w:t>
      </w:r>
    </w:p>
    <w:tbl>
      <w:tblPr>
        <w:tblW w:type="auto" w:w="0"/>
        <w:jc w:val="left"/>
        <w:tblLayout w:type="fixed"/>
        <w:tblLook w:firstColumn="1" w:firstRow="1" w:lastColumn="0" w:lastRow="0" w:noHBand="0" w:noVBand="1" w:val="04A0"/>
      </w:tblPr>
      <w:tblGrid>
        <w:gridCol w:w="4986"/>
        <w:gridCol w:w="4986"/>
      </w:tblGrid>
      <w:tr>
        <w:tc>
          <w:tcPr>
            <w:tcW w:type="dxa" w:w="259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Document</w:t>
            </w:r>
          </w:p>
        </w:tc>
        <w:tc>
          <w:tcPr>
            <w:tcW w:type="dxa" w:w="6912"/>
            <w:shd w:val="clear" w:color="auto" w:fill="0D1B2A"/>
            <w:tcBorders>
              <w:top w:val="single" w:sz="4" w:color="0D1B2A"/>
              <w:bottom w:val="single" w:sz="4" w:color="0D1B2A"/>
              <w:left w:val="single" w:sz="4" w:color="0D1B2A"/>
              <w:right w:val="single" w:sz="4" w:color="0D1B2A"/>
            </w:tcBorders>
          </w:tcPr>
          <w:p>
            <w:pPr>
              <w:spacing w:before="40" w:after="40"/>
            </w:pPr>
            <w:r>
              <w:rPr>
                <w:rFonts w:ascii="Arial" w:hAnsi="Arial" w:eastAsia="Arial"/>
                <w:b/>
                <w:i w:val="0"/>
                <w:color w:val="FFFFFF"/>
                <w:sz w:val="17"/>
              </w:rPr>
              <w:t>What it carries</w:t>
            </w:r>
          </w:p>
        </w:tc>
      </w:tr>
      <w:tr>
        <w:tc>
          <w:tcPr>
            <w:tcW w:type="dxa" w:w="25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Volume I, Corrected Edition</w:t>
            </w:r>
          </w:p>
        </w:tc>
        <w:tc>
          <w:tcPr>
            <w:tcW w:type="dxa" w:w="69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Sections I-IX: general pharmaceutical formulae with all audit corrections applied inline.</w:t>
            </w:r>
          </w:p>
        </w:tc>
      </w:tr>
      <w:tr>
        <w:tc>
          <w:tcPr>
            <w:tcW w:type="dxa" w:w="25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Volume II</w:t>
            </w:r>
          </w:p>
        </w:tc>
        <w:tc>
          <w:tcPr>
            <w:tcW w:type="dxa" w:w="69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Sections X-XIX: efficiency metrics, binding kinetics, IVIVE, biologics and ADCs, synergy, radiobiology, clinical translation, process science, assay statistics.</w:t>
            </w:r>
          </w:p>
        </w:tc>
      </w:tr>
      <w:tr>
        <w:tc>
          <w:tcPr>
            <w:tcW w:type="dxa" w:w="25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Volume III</w:t>
            </w:r>
          </w:p>
        </w:tc>
        <w:tc>
          <w:tcPr>
            <w:tcW w:type="dxa" w:w="69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Sections XX-XXVIII: oncology-exclusive models - myelosuppression, TGI-survival linkage, clonal evolution, tumour transport, cell-cycle scheduling, MRD, trial design, immune dynamics, cumulative toxicity.</w:t>
            </w:r>
          </w:p>
        </w:tc>
      </w:tr>
      <w:tr>
        <w:tc>
          <w:tcPr>
            <w:tcW w:type="dxa" w:w="259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Volume IV (this document)</w:t>
            </w:r>
          </w:p>
        </w:tc>
        <w:tc>
          <w:tcPr>
            <w:tcW w:type="dxa" w:w="6912"/>
            <w:shd w:val="clear" w:color="auto" w:fill="FFFFFF"/>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Sections XXIX-XXXIV: the FLT3-ITD worked dossier.</w:t>
            </w:r>
          </w:p>
        </w:tc>
      </w:tr>
      <w:tr>
        <w:tc>
          <w:tcPr>
            <w:tcW w:type="dxa" w:w="259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Combined Front Matter</w:t>
            </w:r>
          </w:p>
        </w:tc>
        <w:tc>
          <w:tcPr>
            <w:tcW w:type="dxa" w:w="6912"/>
            <w:shd w:val="clear" w:color="auto" w:fill="F0F4F8"/>
            <w:tcBorders>
              <w:top w:val="single" w:sz="4" w:color="D6DEE7"/>
              <w:bottom w:val="single" w:sz="4" w:color="D6DEE7"/>
              <w:left w:val="single" w:sz="4" w:color="D6DEE7"/>
              <w:right w:val="single" w:sz="4" w:color="D6DEE7"/>
            </w:tcBorders>
          </w:tcPr>
          <w:p>
            <w:pPr>
              <w:spacing w:before="40" w:after="40"/>
            </w:pPr>
            <w:r>
              <w:rPr>
                <w:rFonts w:ascii="Arial" w:hAnsi="Arial" w:eastAsia="Arial"/>
                <w:b w:val="0"/>
                <w:i w:val="0"/>
                <w:color w:val="212121"/>
                <w:sz w:val="16"/>
              </w:rPr>
              <w:t>Unified contents, notation conventions and symbol glossary for Volumes I-IV.</w:t>
            </w:r>
          </w:p>
        </w:tc>
      </w:tr>
    </w:tbl>
    <w:p>
      <w:pPr>
        <w:spacing w:after="80"/>
      </w:pPr>
    </w:p>
    <w:tbl>
      <w:tblPr>
        <w:tblW w:type="auto" w:w="0"/>
        <w:tblLook w:firstColumn="1" w:firstRow="1" w:lastColumn="0" w:lastRow="0" w:noHBand="0" w:noVBand="1" w:val="04A0"/>
      </w:tblPr>
      <w:tblGrid>
        <w:gridCol w:w="9972"/>
      </w:tblGrid>
      <w:tr>
        <w:tc>
          <w:tcPr>
            <w:tcW w:type="dxa" w:w="9504"/>
            <w:shd w:val="clear" w:color="auto" w:fill="FDECEA"/>
            <w:tcBorders>
              <w:top w:val="single" w:sz="4" w:color="E0D2A8"/>
              <w:bottom w:val="single" w:sz="4" w:color="E0D2A8"/>
              <w:left w:val="single" w:sz="4" w:color="E0D2A8"/>
              <w:right w:val="single" w:sz="4" w:color="E0D2A8"/>
            </w:tcBorders>
          </w:tcPr>
          <w:p>
            <w:pPr>
              <w:spacing w:before="80" w:after="80"/>
            </w:pPr>
            <w:r>
              <w:rPr>
                <w:rFonts w:ascii="Arial" w:hAnsi="Arial" w:eastAsia="Arial"/>
                <w:b/>
                <w:i w:val="0"/>
                <w:color w:val="C62828"/>
                <w:sz w:val="17"/>
              </w:rPr>
              <w:t xml:space="preserve">IMPORTANT  </w:t>
            </w:r>
            <w:r>
              <w:rPr>
                <w:rFonts w:ascii="Arial" w:hAnsi="Arial" w:eastAsia="Arial"/>
                <w:b w:val="0"/>
                <w:i w:val="0"/>
                <w:color w:val="212121"/>
                <w:sz w:val="17"/>
              </w:rPr>
              <w:t>This volume is a design-criteria and programme-architecture document for research use. It proposes no novel chemical matter and recommends no specific compound. Numeric thresholds are working criteria for triage, not regulatory requirements, and potency values are medians over heterogeneous public assay conditions. Statements about approved agents describe published class behaviour and are not treatment guidance: dose selection, dose modification, supportive care, toxicity management and the interpretation of any biomarker for an individual patient are decisions for a qualified healthcare professional with access to the full clinical context. Drug development requires experimental validation, GLP/GMP compliance, IND filing and regulatory approval before administration to human subjects.</w:t>
            </w:r>
          </w:p>
        </w:tc>
      </w:tr>
    </w:tbl>
    <w:p>
      <w:pPr>
        <w:spacing w:after="60"/>
      </w:pPr>
    </w:p>
    <w:p>
      <w:pPr>
        <w:spacing w:before="320"/>
        <w:jc w:val="center"/>
      </w:pPr>
      <w:r>
        <w:rPr>
          <w:rFonts w:ascii="Arial" w:hAnsi="Arial" w:eastAsia="Arial"/>
          <w:b w:val="0"/>
          <w:i w:val="0"/>
          <w:color w:val="546E7A"/>
          <w:sz w:val="15"/>
        </w:rPr>
        <w:t>Oncology Drug Design Formulae Compendium  ·  Volume IV: FLT3-ITD Target Dossier  ·  Companion to Volumes I-III  ·  For Research &amp; Educational Use Only</w:t>
      </w:r>
    </w:p>
    <w:sectPr w:rsidR="00FC693F" w:rsidRPr="0006063C" w:rsidSect="00034616">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21212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